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0463B" w14:textId="77777777" w:rsidR="001A7873" w:rsidRDefault="001A7873" w:rsidP="001A7873">
      <w:pPr>
        <w:pStyle w:val="BodyText"/>
        <w:jc w:val="center"/>
      </w:pPr>
      <w:r>
        <w:t>ΣΗΜΑΝΤΙΚΗ ΓΝΩΣΤΟΠΟΙΗΣΗ – ΑΠΟΠΟΙΗΣΗ ΕΥΘΥΝΗΣ</w:t>
      </w:r>
    </w:p>
    <w:p w14:paraId="6BDA339A" w14:textId="3E1060A7" w:rsidR="00B0768D" w:rsidRPr="0045229C" w:rsidRDefault="001A7873" w:rsidP="001A7873">
      <w:pPr>
        <w:pStyle w:val="BodyText"/>
        <w:spacing w:before="0"/>
        <w:ind w:left="0"/>
        <w:jc w:val="center"/>
      </w:pPr>
      <w:r>
        <w:t>ΑΥΤΗ Η ΑΝΑΚΟΙΝΩΣΗ ΔΕΝ ΑΠΕΥΘΥΝΕΤΑΙ ΚΑΙ ΔΕΝ ΠΡΟΚΕΙΤΑΙ ΝΑ ΔΗΜΟΣΙΕΥΘΕ</w:t>
      </w:r>
      <w:r w:rsidR="009207A6">
        <w:t>Ι</w:t>
      </w:r>
      <w:r>
        <w:t xml:space="preserve"> Ή ΔΙΑΝΕΜΗΘΕΙ, ΑΜΕΣΑ Ή ΕΜΜΕΣΑ, ΣΤΙΣ Ή ΠΡΟΣ ΤΙΣ ΗΝΩΜΕΝΕΣ ΠΟΛΙΤΕΙΕΣ, ΤΟΝ ΚΑΝΑΔΑ, ΤΗΝ ΑΥΣΤΡΑΛΙΑ, ΤΗΝ ΙΑΠΩΝΙΑ Ή ΟΠΟΙΑΔΗΠΟΤΕ ΑΛΛΗ ΔΙΚΑΙΟΔΟΣΙΑ ΣΤΗΝ ΟΠΟΙΑ ΜΙΑ ΤΕΤΟΙΑ ΔΗΜΟΣΙΕΥΣΗ Ή ΔΙΑΝΟΜΗ ΘΑ ΗΤΑΝ ΠΑΡΑΝΟΜΗ.</w:t>
      </w:r>
    </w:p>
    <w:p w14:paraId="2C3F28C7" w14:textId="35C402C1" w:rsidR="0002134F" w:rsidRPr="00724ED3" w:rsidRDefault="00B97548" w:rsidP="00286FCD">
      <w:pPr>
        <w:pStyle w:val="BodyText"/>
        <w:spacing w:before="0"/>
        <w:ind w:left="0"/>
        <w:jc w:val="left"/>
      </w:pPr>
      <w:r>
        <w:rPr>
          <w:rFonts w:asciiTheme="minorHAnsi" w:hAnsiTheme="minorHAnsi" w:cstheme="minorHAnsi"/>
          <w:noProof/>
          <w:lang w:val="en-US"/>
        </w:rPr>
        <w:drawing>
          <wp:anchor distT="0" distB="0" distL="114300" distR="114300" simplePos="0" relativeHeight="251658240" behindDoc="0" locked="0" layoutInCell="1" allowOverlap="1" wp14:anchorId="79006EB4" wp14:editId="1547DBAC">
            <wp:simplePos x="0" y="0"/>
            <wp:positionH relativeFrom="column">
              <wp:posOffset>1524000</wp:posOffset>
            </wp:positionH>
            <wp:positionV relativeFrom="paragraph">
              <wp:posOffset>299085</wp:posOffset>
            </wp:positionV>
            <wp:extent cx="2362200" cy="304800"/>
            <wp:effectExtent l="0" t="0" r="0" b="0"/>
            <wp:wrapTopAndBottom/>
            <wp:docPr id="190977410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774102" name="Graphic 1909774102"/>
                    <pic:cNvPicPr/>
                  </pic:nvPicPr>
                  <pic:blipFill>
                    <a:blip r:embed="rId13">
                      <a:extLst>
                        <a:ext uri="{96DAC541-7B7A-43D3-8B79-37D633B846F1}">
                          <asvg:svgBlip xmlns:asvg="http://schemas.microsoft.com/office/drawing/2016/SVG/main" r:embed="rId14"/>
                        </a:ext>
                      </a:extLst>
                    </a:blip>
                    <a:stretch>
                      <a:fillRect/>
                    </a:stretch>
                  </pic:blipFill>
                  <pic:spPr>
                    <a:xfrm>
                      <a:off x="0" y="0"/>
                      <a:ext cx="2362200" cy="304800"/>
                    </a:xfrm>
                    <a:prstGeom prst="rect">
                      <a:avLst/>
                    </a:prstGeom>
                  </pic:spPr>
                </pic:pic>
              </a:graphicData>
            </a:graphic>
          </wp:anchor>
        </w:drawing>
      </w:r>
    </w:p>
    <w:p w14:paraId="4E34C1D7" w14:textId="0D399B94" w:rsidR="0002134F" w:rsidRPr="00724ED3" w:rsidRDefault="0002134F" w:rsidP="00286FCD">
      <w:pPr>
        <w:pStyle w:val="BodyText"/>
        <w:spacing w:before="8"/>
        <w:ind w:left="0"/>
        <w:jc w:val="left"/>
      </w:pPr>
    </w:p>
    <w:p w14:paraId="5F4EC26E" w14:textId="2E4A7462" w:rsidR="0088713D" w:rsidRPr="00724ED3" w:rsidRDefault="00EE0439" w:rsidP="00286FCD">
      <w:pPr>
        <w:pStyle w:val="Heading1"/>
        <w:spacing w:before="57" w:line="345" w:lineRule="auto"/>
        <w:ind w:left="1530" w:right="1526"/>
        <w:jc w:val="center"/>
      </w:pPr>
      <w:r w:rsidRPr="00EE0439">
        <w:t>CREDIABANK ΑΝΩΝΥΜΗ ΤΡΑΠΕΖΙΚΗ ΕΤΑΙΡΕΙΑ</w:t>
      </w:r>
    </w:p>
    <w:p w14:paraId="257C19B6" w14:textId="6A5EF131" w:rsidR="0002134F" w:rsidRPr="00724ED3" w:rsidRDefault="0088713D" w:rsidP="00286FCD">
      <w:pPr>
        <w:pStyle w:val="Heading1"/>
        <w:spacing w:before="57" w:line="345" w:lineRule="auto"/>
        <w:ind w:left="1530" w:right="1526"/>
        <w:jc w:val="center"/>
      </w:pPr>
      <w:r w:rsidRPr="00724ED3">
        <w:t>ΑΝΑΚΟΙΝΩΣΗ - ΠΡΟΣΚΛΗΣΗ ΠΡΟΣ ΤΟ ΕΠΕΝΔΥΤΙΚΟ ΚΟΙΝΟ</w:t>
      </w:r>
    </w:p>
    <w:p w14:paraId="4C2651DD" w14:textId="0F2E81CE" w:rsidR="00EE0439" w:rsidRPr="00EE0439" w:rsidRDefault="00EE0439" w:rsidP="00EE0439">
      <w:pPr>
        <w:pStyle w:val="BodyText"/>
        <w:spacing w:after="120"/>
        <w:ind w:left="0" w:right="45"/>
      </w:pPr>
      <w:r w:rsidRPr="00EE0439">
        <w:t xml:space="preserve">ΣΧΕΤΙΚΑ ΜΕ ΤΗ ΔΗΜΟΣΙΑ ΠΡΟΣΦΟΡΑ ΣΤΗΝ ΕΛΛΑΔΑ ΕΩΣ </w:t>
      </w:r>
      <w:r w:rsidR="00D95CCD" w:rsidRPr="00213A04">
        <w:t>375.000.000</w:t>
      </w:r>
      <w:r w:rsidRPr="00EE0439">
        <w:t xml:space="preserve"> ΝΕΩΝ, ΚΟΙΝΩΝ, ΟΝΟΜΑΣΤΙΚΩΝ ΜΕΤΑ ΨΗΦΟΥ ΆΥΛΩΝ ΜΕΤΟΧΩΝ, ΟΝΟΜΑΣΤΙΚΗΣ ΑΞΙΑΣ €</w:t>
      </w:r>
      <w:r w:rsidR="00B36D1A" w:rsidRPr="00B36D1A">
        <w:t>0,05</w:t>
      </w:r>
      <w:r w:rsidRPr="00EE0439">
        <w:t xml:space="preserve"> ΕΚΑΣΤΗΣ ΤΗΣ «</w:t>
      </w:r>
      <w:r w:rsidR="00B36D1A" w:rsidRPr="00B36D1A">
        <w:t>CREDIABANK ΑΝΩΝΥΜΗ ΤΡΑΠΕΖΙΚΗ ΕΤΑΙΡΕΙΑ</w:t>
      </w:r>
      <w:r w:rsidRPr="00EE0439">
        <w:t xml:space="preserve">» («ΕΤΑΙΡΕΙΑ»), ΟΙ ΟΠΟΙΕΣ ΘΑ ΕΚΔΟΘΟΥΝ ΣΤΟ ΠΛΑΙΣΙΟ ΤΗΣ ΑΥΞΗΣΗΣ ΤΟΥ ΜΕΤΟΧΙΚΟΥ ΚΕΦΑΛΑΙΟΥ </w:t>
      </w:r>
      <w:r w:rsidR="00D714B7">
        <w:t xml:space="preserve">ΤΗΣ </w:t>
      </w:r>
      <w:r w:rsidRPr="00EE0439">
        <w:t xml:space="preserve">ΜΕ ΚΑΤΑΒΟΛΗ ΜΕΤΡΗΤΩΝ ΚΑΙ ΚΑΤΑΡΓΗΣΗ ΤΟΥ ΔΙΚΑΙΩΜΑΤΟΣ ΠΡΟΤΙΜΗΣΗΣ ΤΩΝ ΥΦΙΣΤΑΜΕΝΩΝ ΜΕΤΟΧΩΝ, ΜΕ ΔΥΝΑΤΟΤΗΤΑ ΜΕΡΙΚΗΣ ΚΑΛΥΨΗΣ ΔΥΝΑΜΕΙ ΤΗΣ ΑΠΟ </w:t>
      </w:r>
      <w:r w:rsidR="00754207">
        <w:t>29</w:t>
      </w:r>
      <w:r w:rsidR="00B36D1A" w:rsidRPr="00B36D1A">
        <w:t>.</w:t>
      </w:r>
      <w:r w:rsidR="00CA3CBF">
        <w:t>03</w:t>
      </w:r>
      <w:r w:rsidR="00B36D1A" w:rsidRPr="00B36D1A">
        <w:t>.2026</w:t>
      </w:r>
      <w:r w:rsidRPr="00EE0439">
        <w:t xml:space="preserve"> ΑΠΟΦΑΣΗΣ ΤΟΥ ΔΙΟΙΚΗΤΙΚΟΥ ΣΥΜΒΟΥΛΙΟΥ ΤΗΣ ΕΤΑΙΡΕΙΑΣ, ΚΑΤ’ ΕΝΑΣΚΗΣΗ ΤΗΣ ΧΟΡΗΓΗΘΕΙΣΑΣ ΣΕ ΑΥΤΟ ΕΞΟΥΣΙΟΔΟΤΗΣΗΣ ΜΕ ΤΗΝ ΑΠΟΦΑΣΗ ΤΗΣ </w:t>
      </w:r>
      <w:r w:rsidR="00CA3CBF">
        <w:t>27</w:t>
      </w:r>
      <w:r w:rsidR="00B36D1A" w:rsidRPr="00B36D1A">
        <w:t>.</w:t>
      </w:r>
      <w:r w:rsidR="00CA3CBF">
        <w:t>03</w:t>
      </w:r>
      <w:r w:rsidR="00B36D1A" w:rsidRPr="00B36D1A">
        <w:t xml:space="preserve">.2026 </w:t>
      </w:r>
      <w:r w:rsidRPr="00EE0439">
        <w:t>ΕΚΤΑΚΤΗΣ ΓΕΝΙΚΗΣ ΣΥΝΕΛΕΥΣΗΣ ΤΩΝ ΜΕΤΟΧΩΝ ΤΗΣ ΕΤΑΙΡΕΙΑΣ</w:t>
      </w:r>
      <w:r w:rsidR="00CA3CBF">
        <w:t xml:space="preserve"> («ΕΓΣ»)</w:t>
      </w:r>
      <w:r w:rsidRPr="00EE0439">
        <w:t xml:space="preserve"> ΚΑΙ ΤΗΝ ΕΙΣΑΓΩΓΗ ΤΩΝ ΝΕΩΝ ΜΕΤΟΧΩΝ ΤΗΣ ΕΤΑΙΡΕΙΑΣ ΣΤΗ ΡΥΘΜΙΖΟΜΕΝΗ ΑΓΟΡΑ ΤΟΥ ΧΡΗΜΑΤΙΣΤΗΡΙΟΥ ΑΘΗΝΩΝ</w:t>
      </w:r>
    </w:p>
    <w:p w14:paraId="7E95B849" w14:textId="0AC6CEFD" w:rsidR="00DA0B39" w:rsidRPr="00B97548" w:rsidRDefault="0088713D" w:rsidP="00286FCD">
      <w:pPr>
        <w:pStyle w:val="BodyText"/>
        <w:spacing w:after="120"/>
        <w:ind w:left="0" w:right="45"/>
        <w:jc w:val="center"/>
        <w:rPr>
          <w:b/>
          <w:bCs/>
          <w:spacing w:val="-47"/>
        </w:rPr>
      </w:pPr>
      <w:r w:rsidRPr="00B97548">
        <w:rPr>
          <w:b/>
          <w:bCs/>
        </w:rPr>
        <w:t xml:space="preserve">ΔΗΜΟΣΙΑ ΠΡΟΣΦΟΡΑ ΣΤΗΝ ΕΛΛΑΔΑ ΑΠΟ </w:t>
      </w:r>
      <w:r w:rsidR="00D57C93" w:rsidRPr="00B97548">
        <w:rPr>
          <w:b/>
          <w:bCs/>
        </w:rPr>
        <w:t xml:space="preserve">30 </w:t>
      </w:r>
      <w:r w:rsidR="00B36D1A" w:rsidRPr="00B97548">
        <w:rPr>
          <w:b/>
          <w:bCs/>
        </w:rPr>
        <w:t>ΜΑΡΤΙΟΥ 2026</w:t>
      </w:r>
      <w:r w:rsidR="00213F87" w:rsidRPr="00B97548">
        <w:rPr>
          <w:b/>
          <w:bCs/>
        </w:rPr>
        <w:t xml:space="preserve"> </w:t>
      </w:r>
      <w:r w:rsidRPr="00B97548">
        <w:rPr>
          <w:b/>
          <w:bCs/>
        </w:rPr>
        <w:t xml:space="preserve">ΕΩΣ ΚΑΙ </w:t>
      </w:r>
      <w:r w:rsidR="00B36D1A" w:rsidRPr="00B97548">
        <w:rPr>
          <w:b/>
          <w:bCs/>
        </w:rPr>
        <w:t>1 ΑΠΡΙΛΙΟΥ 2026</w:t>
      </w:r>
    </w:p>
    <w:p w14:paraId="12AC32D7" w14:textId="09A26A5B" w:rsidR="0002134F" w:rsidRPr="00724ED3" w:rsidRDefault="0088713D" w:rsidP="00286FCD">
      <w:pPr>
        <w:pStyle w:val="BodyText"/>
        <w:spacing w:before="0" w:after="120"/>
        <w:ind w:left="1525" w:right="1526"/>
        <w:jc w:val="center"/>
      </w:pPr>
      <w:r w:rsidRPr="00724ED3">
        <w:t>ΜΟΝΑΔΑ ΔΙΑΠΡΑΓΜΑΤΕΥΣΗΣ: ΤΙΤΛΟΣ ΜΙΑΣ (1) ΜΕΤΟΧΗΣ</w:t>
      </w:r>
    </w:p>
    <w:p w14:paraId="73271D5F" w14:textId="36D6D16B" w:rsidR="0002134F" w:rsidRDefault="003B7B0E" w:rsidP="00B97548">
      <w:pPr>
        <w:pStyle w:val="BodyText"/>
        <w:spacing w:after="120"/>
        <w:ind w:left="0" w:right="45"/>
        <w:jc w:val="center"/>
        <w:rPr>
          <w:b/>
          <w:bCs/>
        </w:rPr>
      </w:pPr>
      <w:r>
        <w:rPr>
          <w:noProof/>
        </w:rPr>
        <w:drawing>
          <wp:anchor distT="0" distB="0" distL="114300" distR="114300" simplePos="0" relativeHeight="251658241" behindDoc="1" locked="0" layoutInCell="1" allowOverlap="1" wp14:anchorId="739ECA29" wp14:editId="57F7EABF">
            <wp:simplePos x="0" y="0"/>
            <wp:positionH relativeFrom="margin">
              <wp:posOffset>121920</wp:posOffset>
            </wp:positionH>
            <wp:positionV relativeFrom="paragraph">
              <wp:posOffset>316865</wp:posOffset>
            </wp:positionV>
            <wp:extent cx="857250" cy="733425"/>
            <wp:effectExtent l="0" t="0" r="0" b="9525"/>
            <wp:wrapTopAndBottom/>
            <wp:docPr id="18249781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978120" name="Picture 1824978120"/>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57250" cy="7334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3" behindDoc="0" locked="0" layoutInCell="1" allowOverlap="1" wp14:anchorId="618ACEC5" wp14:editId="78F0E1A5">
            <wp:simplePos x="0" y="0"/>
            <wp:positionH relativeFrom="column">
              <wp:posOffset>1259205</wp:posOffset>
            </wp:positionH>
            <wp:positionV relativeFrom="paragraph">
              <wp:posOffset>310515</wp:posOffset>
            </wp:positionV>
            <wp:extent cx="731520" cy="731520"/>
            <wp:effectExtent l="0" t="0" r="0" b="0"/>
            <wp:wrapTopAndBottom/>
            <wp:docPr id="14698363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836377" name="Picture 1469836377"/>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31520" cy="731520"/>
                    </a:xfrm>
                    <a:prstGeom prst="rect">
                      <a:avLst/>
                    </a:prstGeom>
                  </pic:spPr>
                </pic:pic>
              </a:graphicData>
            </a:graphic>
          </wp:anchor>
        </w:drawing>
      </w:r>
      <w:r>
        <w:rPr>
          <w:noProof/>
        </w:rPr>
        <w:drawing>
          <wp:anchor distT="0" distB="0" distL="114300" distR="114300" simplePos="0" relativeHeight="251658242" behindDoc="0" locked="0" layoutInCell="1" allowOverlap="1" wp14:anchorId="7E607DB5" wp14:editId="09EE5785">
            <wp:simplePos x="0" y="0"/>
            <wp:positionH relativeFrom="margin">
              <wp:posOffset>2329815</wp:posOffset>
            </wp:positionH>
            <wp:positionV relativeFrom="paragraph">
              <wp:posOffset>349250</wp:posOffset>
            </wp:positionV>
            <wp:extent cx="1171575" cy="653415"/>
            <wp:effectExtent l="0" t="0" r="9525" b="0"/>
            <wp:wrapTopAndBottom/>
            <wp:docPr id="19824815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481573" name="Picture 1982481573"/>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71575" cy="653415"/>
                    </a:xfrm>
                    <a:prstGeom prst="rect">
                      <a:avLst/>
                    </a:prstGeom>
                  </pic:spPr>
                </pic:pic>
              </a:graphicData>
            </a:graphic>
            <wp14:sizeRelH relativeFrom="margin">
              <wp14:pctWidth>0</wp14:pctWidth>
            </wp14:sizeRelH>
            <wp14:sizeRelV relativeFrom="margin">
              <wp14:pctHeight>0</wp14:pctHeight>
            </wp14:sizeRelV>
          </wp:anchor>
        </w:drawing>
      </w:r>
      <w:r>
        <w:rPr>
          <w:b/>
          <w:bCs/>
          <w:noProof/>
        </w:rPr>
        <w:drawing>
          <wp:anchor distT="0" distB="0" distL="114300" distR="114300" simplePos="0" relativeHeight="251658244" behindDoc="0" locked="0" layoutInCell="1" allowOverlap="1" wp14:anchorId="648CE824" wp14:editId="0AC0B23B">
            <wp:simplePos x="0" y="0"/>
            <wp:positionH relativeFrom="column">
              <wp:posOffset>3733800</wp:posOffset>
            </wp:positionH>
            <wp:positionV relativeFrom="paragraph">
              <wp:posOffset>447040</wp:posOffset>
            </wp:positionV>
            <wp:extent cx="1622425" cy="441960"/>
            <wp:effectExtent l="0" t="0" r="0" b="0"/>
            <wp:wrapTopAndBottom/>
            <wp:docPr id="17055956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595689" name="Picture 1705595689"/>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622425" cy="441960"/>
                    </a:xfrm>
                    <a:prstGeom prst="rect">
                      <a:avLst/>
                    </a:prstGeom>
                  </pic:spPr>
                </pic:pic>
              </a:graphicData>
            </a:graphic>
            <wp14:sizeRelH relativeFrom="margin">
              <wp14:pctWidth>0</wp14:pctWidth>
            </wp14:sizeRelH>
            <wp14:sizeRelV relativeFrom="margin">
              <wp14:pctHeight>0</wp14:pctHeight>
            </wp14:sizeRelV>
          </wp:anchor>
        </w:drawing>
      </w:r>
      <w:r w:rsidR="00B97548" w:rsidRPr="00B97548">
        <w:rPr>
          <w:b/>
          <w:bCs/>
        </w:rPr>
        <w:t>ΣΥΝΤΟΝΙΣΤΕΣ ΤΟΠΟΘΕΤΗΣΗΣ</w:t>
      </w:r>
    </w:p>
    <w:p w14:paraId="1F735816" w14:textId="4498D16F" w:rsidR="00B97548" w:rsidRPr="00B97548" w:rsidRDefault="00B97548" w:rsidP="00B97548">
      <w:pPr>
        <w:pStyle w:val="BodyText"/>
        <w:spacing w:after="120"/>
        <w:ind w:left="0" w:right="45"/>
        <w:jc w:val="center"/>
        <w:rPr>
          <w:b/>
          <w:bCs/>
        </w:rPr>
      </w:pPr>
    </w:p>
    <w:p w14:paraId="3E9EB95A" w14:textId="36297D9E" w:rsidR="0002134F" w:rsidRDefault="003B7B0E" w:rsidP="00286FCD">
      <w:pPr>
        <w:pStyle w:val="BodyText"/>
        <w:spacing w:before="1"/>
        <w:ind w:right="45" w:firstLine="22"/>
        <w:jc w:val="right"/>
      </w:pPr>
      <w:r>
        <w:t>Χαλάνδρι</w:t>
      </w:r>
      <w:r w:rsidR="00AB4E25" w:rsidRPr="00724ED3">
        <w:t xml:space="preserve">, </w:t>
      </w:r>
      <w:r w:rsidR="00497925">
        <w:t>30</w:t>
      </w:r>
      <w:r w:rsidR="00B36D1A">
        <w:t>.03.2026</w:t>
      </w:r>
    </w:p>
    <w:p w14:paraId="3F49D5A0" w14:textId="71D589AE" w:rsidR="00095A7E" w:rsidRPr="00B54749" w:rsidRDefault="00D57ECB" w:rsidP="00B54749">
      <w:pPr>
        <w:pStyle w:val="ListParagraph"/>
        <w:numPr>
          <w:ilvl w:val="0"/>
          <w:numId w:val="6"/>
        </w:numPr>
        <w:tabs>
          <w:tab w:val="left" w:pos="426"/>
        </w:tabs>
        <w:autoSpaceDE/>
        <w:autoSpaceDN/>
        <w:spacing w:before="240" w:after="240" w:line="276" w:lineRule="auto"/>
        <w:ind w:left="426" w:hanging="426"/>
        <w:jc w:val="both"/>
        <w:rPr>
          <w:rFonts w:ascii="Arial" w:hAnsi="Arial"/>
          <w:color w:val="000000"/>
          <w:sz w:val="20"/>
        </w:rPr>
      </w:pPr>
      <w:r>
        <w:rPr>
          <w:color w:val="000000"/>
          <w:lang w:eastAsia="el-GR" w:bidi="el-GR"/>
        </w:rPr>
        <w:t>Κατόπιν της εξουσιοδότησης</w:t>
      </w:r>
      <w:r w:rsidRPr="00931986">
        <w:rPr>
          <w:color w:val="000000"/>
          <w:lang w:eastAsia="el-GR" w:bidi="el-GR"/>
        </w:rPr>
        <w:t xml:space="preserve"> που του παρασχέθηκε </w:t>
      </w:r>
      <w:r>
        <w:rPr>
          <w:color w:val="000000"/>
          <w:lang w:eastAsia="el-GR" w:bidi="el-GR"/>
        </w:rPr>
        <w:t xml:space="preserve">δυνάμει της </w:t>
      </w:r>
      <w:r w:rsidRPr="00931986">
        <w:rPr>
          <w:color w:val="000000"/>
          <w:lang w:eastAsia="el-GR" w:bidi="el-GR"/>
        </w:rPr>
        <w:t xml:space="preserve">από </w:t>
      </w:r>
      <w:r w:rsidRPr="00931986">
        <w:rPr>
          <w:color w:val="000000"/>
          <w:lang w:bidi="en-US"/>
        </w:rPr>
        <w:t>27.03.2026</w:t>
      </w:r>
      <w:r w:rsidRPr="00931986">
        <w:rPr>
          <w:color w:val="000000"/>
          <w:lang w:eastAsia="el-GR" w:bidi="el-GR"/>
        </w:rPr>
        <w:t xml:space="preserve"> απόφαση</w:t>
      </w:r>
      <w:r>
        <w:rPr>
          <w:color w:val="000000"/>
          <w:lang w:eastAsia="el-GR" w:bidi="el-GR"/>
        </w:rPr>
        <w:t>ς</w:t>
      </w:r>
      <w:r w:rsidRPr="00931986">
        <w:rPr>
          <w:color w:val="000000"/>
          <w:lang w:eastAsia="el-GR" w:bidi="el-GR"/>
        </w:rPr>
        <w:t xml:space="preserve"> της Έκτακτης Γενικής Συνέλευσης των μετόχων της Εταιρείας («</w:t>
      </w:r>
      <w:r w:rsidRPr="00931986">
        <w:rPr>
          <w:b/>
          <w:bCs/>
          <w:color w:val="000000"/>
          <w:lang w:eastAsia="el-GR" w:bidi="el-GR"/>
        </w:rPr>
        <w:t>Μέτοχοι</w:t>
      </w:r>
      <w:r w:rsidRPr="00931986">
        <w:rPr>
          <w:color w:val="000000"/>
          <w:lang w:eastAsia="el-GR" w:bidi="el-GR"/>
        </w:rPr>
        <w:t>» και «</w:t>
      </w:r>
      <w:r w:rsidRPr="00931986">
        <w:rPr>
          <w:b/>
          <w:bCs/>
          <w:color w:val="000000"/>
          <w:lang w:eastAsia="el-GR" w:bidi="el-GR"/>
        </w:rPr>
        <w:t>ΕΓΣ</w:t>
      </w:r>
      <w:r w:rsidRPr="00931986">
        <w:rPr>
          <w:color w:val="000000"/>
          <w:lang w:eastAsia="el-GR" w:bidi="el-GR"/>
        </w:rPr>
        <w:t>», αντίστοιχα), σύμφωνα με τα άρθρα 24 παρ. 1(β) και 27 παρ. 4 του Ν. 4548/2018,</w:t>
      </w:r>
      <w:r>
        <w:rPr>
          <w:color w:val="000000"/>
          <w:lang w:eastAsia="el-GR" w:bidi="el-GR"/>
        </w:rPr>
        <w:t xml:space="preserve"> στις</w:t>
      </w:r>
      <w:r w:rsidR="00B51B37" w:rsidRPr="00567E92">
        <w:rPr>
          <w:color w:val="000000"/>
          <w:lang w:eastAsia="el-GR" w:bidi="el-GR"/>
        </w:rPr>
        <w:t xml:space="preserve"> </w:t>
      </w:r>
      <w:r w:rsidRPr="00567E92">
        <w:rPr>
          <w:color w:val="000000"/>
          <w:lang w:bidi="en-US"/>
        </w:rPr>
        <w:t>29</w:t>
      </w:r>
      <w:r w:rsidR="00B51B37" w:rsidRPr="00567E92">
        <w:rPr>
          <w:color w:val="000000"/>
          <w:lang w:bidi="en-US"/>
        </w:rPr>
        <w:t>.</w:t>
      </w:r>
      <w:r w:rsidRPr="00567E92">
        <w:rPr>
          <w:color w:val="000000"/>
          <w:lang w:bidi="en-US"/>
        </w:rPr>
        <w:t>03</w:t>
      </w:r>
      <w:r w:rsidR="00B51B37" w:rsidRPr="00567E92">
        <w:rPr>
          <w:color w:val="000000"/>
          <w:lang w:bidi="en-US"/>
        </w:rPr>
        <w:t xml:space="preserve">.2026 </w:t>
      </w:r>
      <w:r>
        <w:rPr>
          <w:color w:val="000000"/>
          <w:lang w:bidi="en-US"/>
        </w:rPr>
        <w:t xml:space="preserve">το Διοικητικό Συμβούλιο </w:t>
      </w:r>
      <w:r w:rsidR="00B51B37" w:rsidRPr="00567E92">
        <w:rPr>
          <w:color w:val="000000"/>
          <w:lang w:eastAsia="el-GR" w:bidi="el-GR"/>
        </w:rPr>
        <w:t>της Εταιρείας («</w:t>
      </w:r>
      <w:r w:rsidR="00B51B37" w:rsidRPr="00567E92">
        <w:rPr>
          <w:b/>
          <w:bCs/>
          <w:color w:val="000000"/>
          <w:lang w:eastAsia="el-GR" w:bidi="el-GR"/>
        </w:rPr>
        <w:t>Δ.Σ.</w:t>
      </w:r>
      <w:r w:rsidR="00B51B37" w:rsidRPr="00567E92">
        <w:rPr>
          <w:color w:val="000000"/>
          <w:lang w:eastAsia="el-GR" w:bidi="el-GR"/>
        </w:rPr>
        <w:t>»),</w:t>
      </w:r>
      <w:r>
        <w:rPr>
          <w:color w:val="000000"/>
          <w:lang w:eastAsia="el-GR" w:bidi="el-GR"/>
        </w:rPr>
        <w:t xml:space="preserve"> ενέκρινε, μεταξύ άλλων, τ</w:t>
      </w:r>
      <w:r w:rsidRPr="00567E92">
        <w:rPr>
          <w:color w:val="000000"/>
          <w:lang w:eastAsia="el-GR" w:bidi="el-GR"/>
        </w:rPr>
        <w:t>η</w:t>
      </w:r>
      <w:r>
        <w:rPr>
          <w:color w:val="000000"/>
          <w:lang w:eastAsia="el-GR" w:bidi="el-GR"/>
        </w:rPr>
        <w:t>ν</w:t>
      </w:r>
      <w:r w:rsidRPr="00567E92">
        <w:rPr>
          <w:color w:val="000000"/>
          <w:lang w:eastAsia="el-GR" w:bidi="el-GR"/>
        </w:rPr>
        <w:t xml:space="preserve"> αύξηση του μετοχικού κεφαλαίου της </w:t>
      </w:r>
      <w:r w:rsidR="00821381" w:rsidRPr="00567E92">
        <w:rPr>
          <w:color w:val="000000"/>
          <w:lang w:eastAsia="el-GR" w:bidi="el-GR"/>
        </w:rPr>
        <w:t>Εταιρείας</w:t>
      </w:r>
      <w:r w:rsidR="00821381">
        <w:rPr>
          <w:color w:val="000000"/>
          <w:lang w:eastAsia="el-GR" w:bidi="el-GR"/>
        </w:rPr>
        <w:t xml:space="preserve"> </w:t>
      </w:r>
      <w:r w:rsidR="00C47D8A">
        <w:rPr>
          <w:color w:val="000000"/>
          <w:lang w:eastAsia="el-GR" w:bidi="el-GR"/>
        </w:rPr>
        <w:t xml:space="preserve">έως </w:t>
      </w:r>
      <w:r w:rsidR="00821381">
        <w:rPr>
          <w:color w:val="000000"/>
          <w:lang w:eastAsia="el-GR" w:bidi="el-GR"/>
        </w:rPr>
        <w:t>€</w:t>
      </w:r>
      <w:r w:rsidR="00046EDB" w:rsidRPr="00213A04">
        <w:rPr>
          <w:color w:val="000000"/>
          <w:lang w:eastAsia="el-GR" w:bidi="el-GR"/>
        </w:rPr>
        <w:t>18.750.000</w:t>
      </w:r>
      <w:r w:rsidR="00821381" w:rsidRPr="00567E92">
        <w:rPr>
          <w:color w:val="000000"/>
          <w:lang w:eastAsia="el-GR" w:bidi="el-GR"/>
        </w:rPr>
        <w:t xml:space="preserve">, με καταβολή </w:t>
      </w:r>
      <w:r w:rsidRPr="00567E92">
        <w:rPr>
          <w:color w:val="000000"/>
          <w:lang w:eastAsia="el-GR" w:bidi="el-GR"/>
        </w:rPr>
        <w:t>μετρητών, με σκοπό την άντληση κεφαλαίων μέχρι του ποσού των €300.000.000 μέσω έκδοσης μέχρι</w:t>
      </w:r>
      <w:r w:rsidR="00F75783" w:rsidRPr="00FF7A6B">
        <w:rPr>
          <w:color w:val="000000"/>
          <w:lang w:eastAsia="el-GR" w:bidi="el-GR"/>
        </w:rPr>
        <w:t xml:space="preserve"> </w:t>
      </w:r>
      <w:r w:rsidR="00F75783">
        <w:rPr>
          <w:color w:val="000000"/>
          <w:lang w:eastAsia="el-GR" w:bidi="el-GR"/>
        </w:rPr>
        <w:t>και</w:t>
      </w:r>
      <w:r w:rsidRPr="00567E92">
        <w:rPr>
          <w:color w:val="000000"/>
          <w:lang w:eastAsia="el-GR" w:bidi="el-GR"/>
        </w:rPr>
        <w:t xml:space="preserve"> </w:t>
      </w:r>
      <w:r w:rsidR="00046EDB" w:rsidRPr="00213A04">
        <w:rPr>
          <w:color w:val="000000"/>
          <w:lang w:eastAsia="el-GR" w:bidi="el-GR"/>
        </w:rPr>
        <w:t>375.000.000</w:t>
      </w:r>
      <w:r w:rsidRPr="00567E92">
        <w:rPr>
          <w:color w:val="000000"/>
          <w:lang w:eastAsia="el-GR" w:bidi="el-GR"/>
        </w:rPr>
        <w:t xml:space="preserve"> νέων κοινών, άυλων, μετά </w:t>
      </w:r>
      <w:r w:rsidRPr="00567E92">
        <w:rPr>
          <w:color w:val="000000"/>
          <w:lang w:bidi="en-US"/>
        </w:rPr>
        <w:t>ψήφου ονομαστικών μετοχών με ονομαστική αξία €0,05 εκάστη</w:t>
      </w:r>
      <w:r w:rsidR="00095A7E" w:rsidRPr="004368CA">
        <w:rPr>
          <w:color w:val="000000"/>
          <w:lang w:bidi="en-US"/>
        </w:rPr>
        <w:t xml:space="preserve"> </w:t>
      </w:r>
      <w:r w:rsidR="00095A7E" w:rsidRPr="00567E92">
        <w:rPr>
          <w:color w:val="000000"/>
          <w:lang w:bidi="en-US"/>
        </w:rPr>
        <w:t>(οι «</w:t>
      </w:r>
      <w:r w:rsidR="00095A7E" w:rsidRPr="00567E92">
        <w:rPr>
          <w:b/>
          <w:bCs/>
          <w:color w:val="000000"/>
          <w:lang w:bidi="en-US"/>
        </w:rPr>
        <w:t>Νέες Μετοχές</w:t>
      </w:r>
      <w:r w:rsidR="00095A7E" w:rsidRPr="00567E92">
        <w:rPr>
          <w:color w:val="000000"/>
          <w:lang w:bidi="en-US"/>
        </w:rPr>
        <w:t>»)</w:t>
      </w:r>
      <w:r w:rsidR="008E48A4">
        <w:rPr>
          <w:color w:val="000000"/>
          <w:lang w:bidi="en-US"/>
        </w:rPr>
        <w:t xml:space="preserve"> και</w:t>
      </w:r>
      <w:r w:rsidRPr="00567E92">
        <w:rPr>
          <w:color w:val="000000"/>
          <w:lang w:bidi="en-US"/>
        </w:rPr>
        <w:t xml:space="preserve"> </w:t>
      </w:r>
      <w:r w:rsidR="00A75D7F">
        <w:rPr>
          <w:color w:val="000000"/>
          <w:lang w:eastAsia="el-GR" w:bidi="el-GR"/>
        </w:rPr>
        <w:t>τιμή διάθεσης €</w:t>
      </w:r>
      <w:r w:rsidR="00046EDB" w:rsidRPr="00213A04">
        <w:rPr>
          <w:color w:val="000000"/>
          <w:lang w:eastAsia="el-GR" w:bidi="el-GR"/>
        </w:rPr>
        <w:t>0,80</w:t>
      </w:r>
      <w:r w:rsidR="00A75D7F">
        <w:rPr>
          <w:color w:val="000000"/>
          <w:lang w:eastAsia="el-GR" w:bidi="el-GR"/>
        </w:rPr>
        <w:t xml:space="preserve"> ανά </w:t>
      </w:r>
      <w:r w:rsidR="00F1750E">
        <w:rPr>
          <w:color w:val="000000"/>
          <w:lang w:eastAsia="el-GR" w:bidi="el-GR"/>
        </w:rPr>
        <w:t>ν</w:t>
      </w:r>
      <w:r w:rsidR="00A75D7F">
        <w:rPr>
          <w:color w:val="000000"/>
          <w:lang w:eastAsia="el-GR" w:bidi="el-GR"/>
        </w:rPr>
        <w:t xml:space="preserve">έα </w:t>
      </w:r>
      <w:r w:rsidR="00F1750E">
        <w:rPr>
          <w:color w:val="000000"/>
          <w:lang w:eastAsia="el-GR" w:bidi="el-GR"/>
        </w:rPr>
        <w:t>μ</w:t>
      </w:r>
      <w:r w:rsidR="00A75D7F">
        <w:rPr>
          <w:color w:val="000000"/>
          <w:lang w:eastAsia="el-GR" w:bidi="el-GR"/>
        </w:rPr>
        <w:t>ετοχή («</w:t>
      </w:r>
      <w:r w:rsidR="00A75D7F" w:rsidRPr="00B436B4">
        <w:rPr>
          <w:b/>
          <w:bCs/>
          <w:color w:val="000000"/>
          <w:lang w:eastAsia="el-GR" w:bidi="el-GR"/>
        </w:rPr>
        <w:t>Τιμή Διάθεσης</w:t>
      </w:r>
      <w:r w:rsidR="00A75D7F">
        <w:rPr>
          <w:color w:val="000000"/>
          <w:lang w:eastAsia="el-GR" w:bidi="el-GR"/>
        </w:rPr>
        <w:t>»)</w:t>
      </w:r>
      <w:r w:rsidR="00F1750E">
        <w:rPr>
          <w:color w:val="000000"/>
          <w:lang w:eastAsia="el-GR" w:bidi="el-GR"/>
        </w:rPr>
        <w:t xml:space="preserve">, </w:t>
      </w:r>
      <w:r w:rsidRPr="00567E92">
        <w:rPr>
          <w:color w:val="000000"/>
          <w:lang w:bidi="en-US"/>
        </w:rPr>
        <w:t xml:space="preserve">με αποκλεισμό (κατάργηση) του δικαιώματος προτίμησης των υφιστάμενων </w:t>
      </w:r>
      <w:r w:rsidR="003A08FE">
        <w:rPr>
          <w:color w:val="000000"/>
          <w:lang w:bidi="en-US"/>
        </w:rPr>
        <w:t>Μ</w:t>
      </w:r>
      <w:r w:rsidRPr="00567E92">
        <w:rPr>
          <w:color w:val="000000"/>
          <w:lang w:bidi="en-US"/>
        </w:rPr>
        <w:t>ετόχων, σύμφωνα με το άρθρο 27 παρ. 4 του Ν. 4548/2018 και με δυνατότητα μερικής κάλυψης, κατά το άρθρο 28 του Ν. 4548/2018</w:t>
      </w:r>
      <w:r w:rsidR="00095A7E" w:rsidRPr="004368CA">
        <w:rPr>
          <w:color w:val="000000"/>
          <w:lang w:bidi="en-US"/>
        </w:rPr>
        <w:t xml:space="preserve"> </w:t>
      </w:r>
      <w:r w:rsidR="00095A7E" w:rsidRPr="00567E92">
        <w:rPr>
          <w:color w:val="000000"/>
          <w:lang w:eastAsia="el-GR" w:bidi="el-GR"/>
        </w:rPr>
        <w:t>(η «</w:t>
      </w:r>
      <w:r w:rsidR="00095A7E" w:rsidRPr="00567E92">
        <w:rPr>
          <w:b/>
          <w:bCs/>
          <w:color w:val="000000"/>
          <w:lang w:eastAsia="el-GR" w:bidi="el-GR"/>
        </w:rPr>
        <w:t>Αύξηση Μετοχικού Κεφαλαίου</w:t>
      </w:r>
      <w:r w:rsidR="00095A7E" w:rsidRPr="00567E92">
        <w:rPr>
          <w:color w:val="000000"/>
          <w:lang w:eastAsia="el-GR" w:bidi="el-GR"/>
        </w:rPr>
        <w:t>»)</w:t>
      </w:r>
      <w:r w:rsidR="00FB7D05" w:rsidRPr="00567E92">
        <w:rPr>
          <w:color w:val="000000"/>
          <w:lang w:bidi="en-US"/>
        </w:rPr>
        <w:t xml:space="preserve">. </w:t>
      </w:r>
      <w:r w:rsidRPr="00567E92">
        <w:rPr>
          <w:color w:val="000000"/>
          <w:lang w:bidi="en-US"/>
        </w:rPr>
        <w:t xml:space="preserve">Ο τελικός αριθμός των </w:t>
      </w:r>
      <w:r w:rsidR="008E0647">
        <w:rPr>
          <w:color w:val="000000"/>
          <w:lang w:bidi="en-US"/>
        </w:rPr>
        <w:t>Ν</w:t>
      </w:r>
      <w:r w:rsidRPr="00567E92">
        <w:rPr>
          <w:color w:val="000000"/>
          <w:lang w:bidi="en-US"/>
        </w:rPr>
        <w:t xml:space="preserve">έων </w:t>
      </w:r>
      <w:r w:rsidR="008E0647">
        <w:rPr>
          <w:color w:val="000000"/>
          <w:lang w:bidi="en-US"/>
        </w:rPr>
        <w:t>Μ</w:t>
      </w:r>
      <w:r w:rsidRPr="00567E92">
        <w:rPr>
          <w:color w:val="000000"/>
          <w:lang w:bidi="en-US"/>
        </w:rPr>
        <w:t xml:space="preserve">ετοχών </w:t>
      </w:r>
      <w:r w:rsidR="003A08FE">
        <w:rPr>
          <w:color w:val="000000"/>
          <w:lang w:eastAsia="el-GR" w:bidi="el-GR"/>
        </w:rPr>
        <w:t>που θα εκδοθούν δυνάμει της</w:t>
      </w:r>
      <w:r w:rsidRPr="00567E92">
        <w:rPr>
          <w:color w:val="000000"/>
          <w:lang w:bidi="en-US"/>
        </w:rPr>
        <w:t xml:space="preserve"> Αύξησης Μετοχικού Κεφαλαίου θα ισούται με το πηλίκο της διαίρεσης του συνολικού </w:t>
      </w:r>
      <w:r w:rsidR="00BC3915">
        <w:rPr>
          <w:color w:val="000000"/>
          <w:lang w:eastAsia="el-GR" w:bidi="el-GR"/>
        </w:rPr>
        <w:t xml:space="preserve">ποσού που θα αντληθεί </w:t>
      </w:r>
      <w:r w:rsidR="00BC3915">
        <w:rPr>
          <w:color w:val="000000"/>
          <w:lang w:eastAsia="el-GR" w:bidi="el-GR"/>
        </w:rPr>
        <w:lastRenderedPageBreak/>
        <w:t>τελικώς</w:t>
      </w:r>
      <w:r w:rsidRPr="00567E92">
        <w:rPr>
          <w:color w:val="000000"/>
          <w:lang w:bidi="en-US"/>
        </w:rPr>
        <w:t xml:space="preserve"> μέσω της Αύξησης Μετοχικού Κεφαλαίου δια της </w:t>
      </w:r>
      <w:r w:rsidR="000D4E29">
        <w:rPr>
          <w:color w:val="000000"/>
          <w:lang w:bidi="en-US"/>
        </w:rPr>
        <w:t>Τιμής Διάθεσης</w:t>
      </w:r>
      <w:r w:rsidR="00095A7E" w:rsidRPr="00B54749">
        <w:rPr>
          <w:rFonts w:asciiTheme="minorHAnsi" w:hAnsiTheme="minorHAnsi" w:cstheme="minorHAnsi"/>
          <w:color w:val="000000"/>
          <w:lang w:eastAsia="el-GR" w:bidi="el-GR"/>
        </w:rPr>
        <w:t xml:space="preserve"> και το τελικό ονομαστικό ποσό της Αύξησης Μετοχικού Κεφαλαίου θα ισούται με το γινόμενο του τελικού αριθμού των Νέων Μετοχών επί την ονομαστική τους αξία (των €0,05 ανά Νέα Μετοχή).</w:t>
      </w:r>
    </w:p>
    <w:p w14:paraId="5FF0327F" w14:textId="43AFB6E0" w:rsidR="0002134F" w:rsidRPr="00724ED3" w:rsidRDefault="00AB4E25" w:rsidP="00B54749">
      <w:pPr>
        <w:tabs>
          <w:tab w:val="left" w:pos="426"/>
        </w:tabs>
        <w:autoSpaceDE/>
        <w:autoSpaceDN/>
        <w:spacing w:before="240" w:after="240" w:line="276" w:lineRule="auto"/>
        <w:jc w:val="both"/>
      </w:pPr>
      <w:r w:rsidRPr="00724ED3">
        <w:t xml:space="preserve">Οι </w:t>
      </w:r>
      <w:r w:rsidR="00B36D1A">
        <w:t>Νέες</w:t>
      </w:r>
      <w:r w:rsidRPr="00724ED3">
        <w:t xml:space="preserve"> Μετοχές θα διατεθούν</w:t>
      </w:r>
      <w:r w:rsidR="00B36D1A">
        <w:t xml:space="preserve"> μέσω</w:t>
      </w:r>
      <w:r w:rsidRPr="00724ED3">
        <w:t>:</w:t>
      </w:r>
    </w:p>
    <w:p w14:paraId="1A7F8A5D" w14:textId="48F193A6" w:rsidR="00B36D1A" w:rsidRDefault="00B36D1A" w:rsidP="00EA1485">
      <w:pPr>
        <w:pStyle w:val="BodyText"/>
        <w:numPr>
          <w:ilvl w:val="0"/>
          <w:numId w:val="2"/>
        </w:numPr>
        <w:spacing w:before="121" w:after="120"/>
        <w:ind w:right="113"/>
      </w:pPr>
      <w:r w:rsidRPr="00B36D1A">
        <w:t>δημόσιας προσφοράς στην Ελλάδα σε ιδιώτες επενδυτές και ειδικούς επενδυτές (η «</w:t>
      </w:r>
      <w:r w:rsidRPr="00B36D1A">
        <w:rPr>
          <w:b/>
          <w:bCs/>
        </w:rPr>
        <w:t>Ελληνική Δημόσια Προσφορά</w:t>
      </w:r>
      <w:r w:rsidRPr="00B36D1A">
        <w:t>»)</w:t>
      </w:r>
      <w:r w:rsidR="00D57ECB">
        <w:t xml:space="preserve">, </w:t>
      </w:r>
      <w:r w:rsidR="00D57ECB" w:rsidRPr="00DB532F">
        <w:t>με δικαίωμα κατά προτεραιότητα κατανομής (το «</w:t>
      </w:r>
      <w:r w:rsidR="00D57ECB" w:rsidRPr="00DB532F">
        <w:rPr>
          <w:b/>
          <w:bCs/>
        </w:rPr>
        <w:t>Δικαίωμα Προνομιακής Κατανομής</w:t>
      </w:r>
      <w:r w:rsidR="00D57ECB" w:rsidRPr="00DB532F">
        <w:t xml:space="preserve">») στους υφιστάμενους </w:t>
      </w:r>
      <w:r w:rsidR="00C26187">
        <w:t>Μ</w:t>
      </w:r>
      <w:r w:rsidR="00D57ECB" w:rsidRPr="00DB532F">
        <w:t xml:space="preserve">ετόχους, οι οποίοι εμφανίζονται ως </w:t>
      </w:r>
      <w:r w:rsidR="00C26187">
        <w:t>Μ</w:t>
      </w:r>
      <w:r w:rsidR="00D57ECB" w:rsidRPr="00DB532F">
        <w:t xml:space="preserve">έτοχοι στο Σ.Α.Τ., </w:t>
      </w:r>
      <w:r w:rsidR="00821381">
        <w:t>στο κλείσιμο της διαπραγμάτευσης των υφιστάμενων μετοχών της Εταιρείας στις</w:t>
      </w:r>
      <w:r w:rsidR="00821381" w:rsidRPr="00DB532F">
        <w:t xml:space="preserve"> </w:t>
      </w:r>
      <w:r w:rsidR="00821381">
        <w:rPr>
          <w:color w:val="000000"/>
          <w:lang w:eastAsia="el-GR" w:bidi="el-GR"/>
        </w:rPr>
        <w:t>30.03.2026</w:t>
      </w:r>
      <w:r w:rsidR="00821381" w:rsidRPr="00DB532F">
        <w:t xml:space="preserve"> </w:t>
      </w:r>
      <w:r w:rsidR="00D57ECB" w:rsidRPr="00DB532F">
        <w:t>(η «</w:t>
      </w:r>
      <w:r w:rsidR="00D57ECB" w:rsidRPr="00DB532F">
        <w:rPr>
          <w:b/>
          <w:bCs/>
        </w:rPr>
        <w:t>Ημερομηνία Καταγραφής</w:t>
      </w:r>
      <w:r w:rsidR="00D57ECB" w:rsidRPr="00DB532F">
        <w:t>»), ανάλογα με τη συμμετοχή τους στο υφιστάμενο μετοχικό κεφάλαιο της Εταιρείας</w:t>
      </w:r>
      <w:r w:rsidR="00095A7E" w:rsidRPr="004368CA">
        <w:t xml:space="preserve"> (</w:t>
      </w:r>
      <w:r w:rsidR="00095A7E" w:rsidRPr="00B54749">
        <w:t>ήτοι με αναλογία 0,23176583713304 Νέες Μετοχές για κάθε μία υφιστάμενη μετοχή)</w:t>
      </w:r>
      <w:r w:rsidR="00D57ECB" w:rsidRPr="00DD342B">
        <w:t>,</w:t>
      </w:r>
      <w:r w:rsidR="00D57ECB" w:rsidRPr="00DB532F">
        <w:t xml:space="preserve"> έτσι ώστε να δύνανται να διατηρήσουν το ποσοστό συμμετοχής τους αμετάβλητο σε σχέση με το ποσοστό που θα κατέχουν στο μετοχικό κεφάλαιο της Εταιρείας πριν την Αύξηση</w:t>
      </w:r>
      <w:r w:rsidR="00D57ECB">
        <w:t xml:space="preserve"> Μετοχικού Κεφαλαίου</w:t>
      </w:r>
      <w:r w:rsidRPr="00B36D1A">
        <w:t xml:space="preserve"> και </w:t>
      </w:r>
    </w:p>
    <w:p w14:paraId="2C45F299" w14:textId="2607572D" w:rsidR="0002134F" w:rsidRPr="00724ED3" w:rsidRDefault="00B36D1A" w:rsidP="00EA1485">
      <w:pPr>
        <w:pStyle w:val="BodyText"/>
        <w:numPr>
          <w:ilvl w:val="0"/>
          <w:numId w:val="2"/>
        </w:numPr>
        <w:spacing w:before="121" w:after="120"/>
        <w:ind w:right="113"/>
      </w:pPr>
      <w:r w:rsidRPr="00B36D1A">
        <w:t xml:space="preserve">ιδιωτικής τοποθέτησης εκτός Ελλάδας, </w:t>
      </w:r>
      <w:r w:rsidR="009E62DD">
        <w:t xml:space="preserve">η οποία δεν συνιστά δημόσια προσφορά </w:t>
      </w:r>
      <w:r w:rsidRPr="00B36D1A">
        <w:t>και σε κάθε περίπτωση με την επιφύλαξη των ισχυουσών εξαιρέσεων από τις ισχύουσες απαιτήσεις ενημερωτικού δελτίου (η «</w:t>
      </w:r>
      <w:r w:rsidRPr="00B36D1A">
        <w:rPr>
          <w:b/>
          <w:bCs/>
        </w:rPr>
        <w:t>Διεθνής Προσφορά</w:t>
      </w:r>
      <w:r w:rsidRPr="00B36D1A">
        <w:t>» και από κοινού με την Ελληνική Δημόσια Προσφορά, η «</w:t>
      </w:r>
      <w:r w:rsidRPr="00B36D1A">
        <w:rPr>
          <w:b/>
          <w:bCs/>
        </w:rPr>
        <w:t>Συνδυασμένη Προσφορά</w:t>
      </w:r>
      <w:r w:rsidRPr="00B36D1A">
        <w:t>»)</w:t>
      </w:r>
      <w:r w:rsidR="00360899" w:rsidRPr="00724ED3">
        <w:t>.</w:t>
      </w:r>
    </w:p>
    <w:p w14:paraId="3B88EA6A" w14:textId="1AEA9BE6" w:rsidR="0002134F" w:rsidRPr="00724ED3" w:rsidRDefault="00AA5D09" w:rsidP="005B3504">
      <w:pPr>
        <w:pStyle w:val="BodyText"/>
        <w:spacing w:before="121"/>
        <w:ind w:left="0" w:right="114"/>
      </w:pPr>
      <w:r>
        <w:t xml:space="preserve">Η Ελληνική Δημόσια Προσφορά </w:t>
      </w:r>
      <w:r w:rsidR="003A3EC6" w:rsidRPr="003A3EC6">
        <w:t>θα διεξαχθεί μέσω</w:t>
      </w:r>
      <w:r>
        <w:t xml:space="preserve"> ηλεκτρονικού βιβλίου προσφορών (το «</w:t>
      </w:r>
      <w:r w:rsidRPr="005B3504">
        <w:t>Η.ΒΙ.Π.</w:t>
      </w:r>
      <w:r>
        <w:t xml:space="preserve">»), το οποίο </w:t>
      </w:r>
      <w:r w:rsidR="00360899" w:rsidRPr="00724ED3">
        <w:t xml:space="preserve">θα παραμείνει ανοιχτό κατά την περίοδο της Ελληνικής Δημόσιας Προσφοράς (ήτοι από </w:t>
      </w:r>
      <w:r w:rsidR="007339C4" w:rsidRPr="007339C4">
        <w:t xml:space="preserve">30 </w:t>
      </w:r>
      <w:r w:rsidR="00B36D1A">
        <w:t>Μαρτίου</w:t>
      </w:r>
      <w:r w:rsidR="00213F87" w:rsidRPr="00213F87">
        <w:t xml:space="preserve"> </w:t>
      </w:r>
      <w:r w:rsidR="00B36D1A">
        <w:t xml:space="preserve">2026 </w:t>
      </w:r>
      <w:r w:rsidR="00360899" w:rsidRPr="00724ED3">
        <w:t xml:space="preserve">έως και </w:t>
      </w:r>
      <w:r w:rsidR="00B36D1A">
        <w:t>1 Απριλίου 2026</w:t>
      </w:r>
      <w:r w:rsidR="00360899" w:rsidRPr="00724ED3">
        <w:t xml:space="preserve">) από τις 10:00 ώρα Ελλάδος και έως τις 17:00 ώρα Ελλάδος, εκτός από την τελευταία ημέρα της περιόδου Ελληνικής Δημόσιας Προσφοράς, δηλαδή στις </w:t>
      </w:r>
      <w:r w:rsidR="00B36D1A">
        <w:t>1 Απριλίου</w:t>
      </w:r>
      <w:r w:rsidR="00213F87" w:rsidRPr="00213F87">
        <w:t xml:space="preserve"> </w:t>
      </w:r>
      <w:r w:rsidR="00360899" w:rsidRPr="00724ED3">
        <w:t>202</w:t>
      </w:r>
      <w:r w:rsidR="00B36D1A">
        <w:t>6</w:t>
      </w:r>
      <w:r w:rsidR="00360899" w:rsidRPr="00724ED3">
        <w:t xml:space="preserve">, κατά την οποία θα κλείσει </w:t>
      </w:r>
      <w:r w:rsidR="00821381" w:rsidRPr="00724ED3">
        <w:t xml:space="preserve">στις </w:t>
      </w:r>
      <w:r w:rsidR="00821381">
        <w:t>14</w:t>
      </w:r>
      <w:r w:rsidR="00821381" w:rsidRPr="00724ED3">
        <w:t xml:space="preserve">:00 ώρα </w:t>
      </w:r>
      <w:r w:rsidR="00360899" w:rsidRPr="00724ED3">
        <w:t>Ελλάδος.</w:t>
      </w:r>
      <w:r w:rsidR="005A0FCF">
        <w:t xml:space="preserve"> Η Διεθνής Προσφορά θα έχει την ίδια διάρκεια με την Ελληνική Δημόσια Προσφορά</w:t>
      </w:r>
      <w:r w:rsidR="007B68D5">
        <w:t>.</w:t>
      </w:r>
      <w:r w:rsidR="005A0FCF">
        <w:t xml:space="preserve"> </w:t>
      </w:r>
    </w:p>
    <w:p w14:paraId="0E95C1B9" w14:textId="3D95A14A" w:rsidR="0002134F" w:rsidRPr="00724ED3" w:rsidRDefault="008C5AC9" w:rsidP="005B3504">
      <w:pPr>
        <w:pStyle w:val="Heading1"/>
        <w:ind w:left="0"/>
      </w:pPr>
      <w:r w:rsidRPr="00724ED3">
        <w:t>ΤΙΜΗ</w:t>
      </w:r>
      <w:r w:rsidRPr="00724ED3">
        <w:rPr>
          <w:spacing w:val="-2"/>
        </w:rPr>
        <w:t xml:space="preserve"> </w:t>
      </w:r>
      <w:r w:rsidR="00B36D1A" w:rsidRPr="00B36D1A">
        <w:t>ΔΙΑΘΕΣΗΣ ΤΩΝ ΝΕΩΝ ΜΕΤΟΧΩΝ ΜΕΣΩ ΤΗΣ ΔΗΜΟΣΙΑΣ ΠΡΟΣΦΟΡΑΣ</w:t>
      </w:r>
    </w:p>
    <w:p w14:paraId="2DCCCE94" w14:textId="280FDB43" w:rsidR="00ED6925" w:rsidRPr="00724ED3" w:rsidRDefault="005B3504" w:rsidP="005B3504">
      <w:pPr>
        <w:pStyle w:val="BodyText"/>
        <w:spacing w:before="121"/>
        <w:ind w:left="0" w:right="114"/>
      </w:pPr>
      <w:r w:rsidRPr="005B3504">
        <w:t xml:space="preserve">Το Δ.Σ., στην από </w:t>
      </w:r>
      <w:r w:rsidR="00D154B9">
        <w:t>29.03</w:t>
      </w:r>
      <w:r w:rsidRPr="005B3504">
        <w:t xml:space="preserve">.2026 συνεδρίασή του, </w:t>
      </w:r>
      <w:r w:rsidR="007769E5">
        <w:t>ενέκρινε</w:t>
      </w:r>
      <w:r w:rsidRPr="005B3504">
        <w:t xml:space="preserve">, μεταξύ άλλων, </w:t>
      </w:r>
      <w:r w:rsidR="003C4AB2">
        <w:t>την Τιμή Διάθεσης</w:t>
      </w:r>
      <w:r w:rsidR="00F62DC1">
        <w:t>,</w:t>
      </w:r>
      <w:r w:rsidR="007769E5">
        <w:t xml:space="preserve"> ήτοι </w:t>
      </w:r>
      <w:r w:rsidR="007769E5" w:rsidRPr="005B3504">
        <w:t>€</w:t>
      </w:r>
      <w:r w:rsidR="00046EDB" w:rsidRPr="00213A04">
        <w:t>0,80</w:t>
      </w:r>
      <w:r w:rsidR="00651727">
        <w:t xml:space="preserve"> ανά</w:t>
      </w:r>
      <w:r w:rsidRPr="005B3504">
        <w:t xml:space="preserve"> Νέα Μετοχή</w:t>
      </w:r>
      <w:r w:rsidR="00651727">
        <w:t>, η οποία</w:t>
      </w:r>
      <w:r w:rsidR="00516CEE" w:rsidRPr="00516CEE">
        <w:t xml:space="preserve"> θα είναι ίδια στην Ελληνική Δημόσια Προσφορά και στη Διεθνή Προσφορά.</w:t>
      </w:r>
    </w:p>
    <w:p w14:paraId="171D6BC9" w14:textId="2E3F3313" w:rsidR="0002134F" w:rsidRPr="00724ED3" w:rsidRDefault="008C5AC9" w:rsidP="00286FCD">
      <w:pPr>
        <w:pStyle w:val="Heading1"/>
        <w:spacing w:before="120"/>
        <w:ind w:left="0" w:right="113"/>
      </w:pPr>
      <w:r w:rsidRPr="0055707E">
        <w:t xml:space="preserve">ΔΙΑΔΙΚΑΣΙΑ </w:t>
      </w:r>
      <w:r w:rsidR="0055707E" w:rsidRPr="0055707E">
        <w:t>ΔΙΑΘΕΣΗΣ ΤΩΝ ΝΕΩΝ ΜΕΤΟΧΩΝ ΣΤΗΝ</w:t>
      </w:r>
      <w:r w:rsidR="001B75FE" w:rsidRPr="0055707E">
        <w:t xml:space="preserve"> ΕΛΛΗΝΙΚΗ</w:t>
      </w:r>
      <w:r w:rsidRPr="0055707E">
        <w:t xml:space="preserve"> ΔΗΜΟΣΙΑ</w:t>
      </w:r>
      <w:r w:rsidRPr="0055707E">
        <w:rPr>
          <w:spacing w:val="1"/>
        </w:rPr>
        <w:t xml:space="preserve"> </w:t>
      </w:r>
      <w:r w:rsidRPr="0055707E">
        <w:t>ΠΡΟΣΦΟΡΑ</w:t>
      </w:r>
    </w:p>
    <w:p w14:paraId="5EBCCAF8" w14:textId="77777777" w:rsidR="0002134F" w:rsidRPr="00724ED3" w:rsidRDefault="008C5AC9" w:rsidP="00286FCD">
      <w:pPr>
        <w:spacing w:before="118"/>
        <w:jc w:val="both"/>
        <w:rPr>
          <w:b/>
        </w:rPr>
      </w:pPr>
      <w:r w:rsidRPr="00724ED3">
        <w:rPr>
          <w:b/>
        </w:rPr>
        <w:t>Γενικά</w:t>
      </w:r>
      <w:r w:rsidRPr="00724ED3">
        <w:rPr>
          <w:b/>
          <w:spacing w:val="-4"/>
        </w:rPr>
        <w:t xml:space="preserve"> </w:t>
      </w:r>
      <w:r w:rsidRPr="00724ED3">
        <w:rPr>
          <w:b/>
        </w:rPr>
        <w:t>στοιχεία</w:t>
      </w:r>
    </w:p>
    <w:p w14:paraId="63541CA0" w14:textId="4A2AD4E8" w:rsidR="0055707E" w:rsidRDefault="0055707E" w:rsidP="0055707E">
      <w:pPr>
        <w:pStyle w:val="BodyText"/>
        <w:spacing w:before="121" w:after="120"/>
        <w:ind w:left="0" w:right="119"/>
      </w:pPr>
      <w:r>
        <w:t>Η διάθεση των Νέων Μετοχών μέσω της Ελληνικής Δημόσιας Προσφοράς θα πραγματοποιηθεί μέσω της Υπηρεσίας Η.ΒΙ.Π. Η Ελληνική Δημόσια Προσφορά και η τήρηση του Η.ΒΙ.Π. θα πραγματοποιηθεί σύμφωνα με την απόφαση 34/08.03.2017 της Διοικούσας Επιτροπής Χρηματιστηριακών Αγορών του Χ.Α., όπως τροποποιήθηκε και ισχύει (</w:t>
      </w:r>
      <w:r w:rsidR="000B2172">
        <w:t xml:space="preserve">η </w:t>
      </w:r>
      <w:r>
        <w:t>«</w:t>
      </w:r>
      <w:r w:rsidRPr="0055707E">
        <w:rPr>
          <w:b/>
          <w:bCs/>
        </w:rPr>
        <w:t>Απόφαση Η.ΒΙ.Π.</w:t>
      </w:r>
      <w:r>
        <w:t xml:space="preserve">») και την από </w:t>
      </w:r>
      <w:r w:rsidR="006E3515" w:rsidRPr="00567E92">
        <w:t>29</w:t>
      </w:r>
      <w:r>
        <w:t>.</w:t>
      </w:r>
      <w:r w:rsidR="006E3515" w:rsidRPr="00567E92">
        <w:t>03</w:t>
      </w:r>
      <w:r>
        <w:t xml:space="preserve">.2026 απόφαση του Δ.Σ., </w:t>
      </w:r>
      <w:proofErr w:type="spellStart"/>
      <w:r>
        <w:t>κατ</w:t>
      </w:r>
      <w:proofErr w:type="spellEnd"/>
      <w:r>
        <w:t xml:space="preserve">΄ ενάσκηση της εξουσιοδότησης που του χορηγήθηκε </w:t>
      </w:r>
      <w:r w:rsidR="00C43DB8">
        <w:t>από την</w:t>
      </w:r>
      <w:r>
        <w:t xml:space="preserve"> ΕΓΣ. Συντονιστές της διαδικασίας Η.ΒΙ.Π., κατά τα οριζόμενα στην Απόφαση Η.ΒΙ.Π., έχουν ορισθεί </w:t>
      </w:r>
      <w:r w:rsidR="00516CEE" w:rsidRPr="00516CEE">
        <w:t>οι Συντονιστές Τοποθέτησης</w:t>
      </w:r>
      <w:r w:rsidR="00516CEE">
        <w:t>,</w:t>
      </w:r>
      <w:r>
        <w:t xml:space="preserve"> EUROXX ΧΡΗΜΑΤΙΣΤΗΡΙΑΚΗ Α.Ε.Π.Ε.Υ.</w:t>
      </w:r>
      <w:r w:rsidR="00FB7D05">
        <w:t>,</w:t>
      </w:r>
      <w:r>
        <w:t xml:space="preserve"> ΠΑΝΤΕΛΑΚΗΣ ΧΡΗΜΑΤΙΣΤΗΡΙΑΚΗ Α.Ε.Π.Ε.Υ.</w:t>
      </w:r>
      <w:r w:rsidR="003B7B0E">
        <w:t xml:space="preserve">, </w:t>
      </w:r>
      <w:r w:rsidR="00821381" w:rsidRPr="006C23BA">
        <w:rPr>
          <w:color w:val="000000"/>
          <w:lang w:bidi="en-US"/>
        </w:rPr>
        <w:t xml:space="preserve">Τράπεζα </w:t>
      </w:r>
      <w:proofErr w:type="spellStart"/>
      <w:r w:rsidR="00821381" w:rsidRPr="006C23BA">
        <w:rPr>
          <w:color w:val="000000"/>
          <w:lang w:bidi="en-US"/>
        </w:rPr>
        <w:t>Optima</w:t>
      </w:r>
      <w:proofErr w:type="spellEnd"/>
      <w:r w:rsidR="00821381" w:rsidRPr="006C23BA">
        <w:rPr>
          <w:color w:val="000000"/>
          <w:lang w:bidi="en-US"/>
        </w:rPr>
        <w:t xml:space="preserve"> </w:t>
      </w:r>
      <w:proofErr w:type="spellStart"/>
      <w:r w:rsidR="00821381" w:rsidRPr="006C23BA">
        <w:rPr>
          <w:color w:val="000000"/>
          <w:lang w:bidi="en-US"/>
        </w:rPr>
        <w:t>bank</w:t>
      </w:r>
      <w:proofErr w:type="spellEnd"/>
      <w:r w:rsidR="00821381" w:rsidRPr="00567E92">
        <w:t xml:space="preserve"> </w:t>
      </w:r>
      <w:r w:rsidR="00FB7D05">
        <w:rPr>
          <w:lang w:val="en-US"/>
        </w:rPr>
        <w:t>A</w:t>
      </w:r>
      <w:r w:rsidR="00FB7D05" w:rsidRPr="00567E92">
        <w:t>.</w:t>
      </w:r>
      <w:r w:rsidR="00FB7D05">
        <w:rPr>
          <w:lang w:val="en-US"/>
        </w:rPr>
        <w:t>E</w:t>
      </w:r>
      <w:r w:rsidR="00FB7D05" w:rsidRPr="00567E92">
        <w:t>.</w:t>
      </w:r>
      <w:r w:rsidR="003B7B0E">
        <w:t xml:space="preserve"> και </w:t>
      </w:r>
      <w:proofErr w:type="spellStart"/>
      <w:r w:rsidR="003B7B0E" w:rsidRPr="003B7B0E">
        <w:t>Ambrosia</w:t>
      </w:r>
      <w:proofErr w:type="spellEnd"/>
      <w:r w:rsidR="003B7B0E" w:rsidRPr="003B7B0E">
        <w:t xml:space="preserve"> Capital </w:t>
      </w:r>
      <w:proofErr w:type="spellStart"/>
      <w:r w:rsidR="003B7B0E" w:rsidRPr="003B7B0E">
        <w:t>Hellas</w:t>
      </w:r>
      <w:proofErr w:type="spellEnd"/>
      <w:r w:rsidR="003B7B0E" w:rsidRPr="003B7B0E">
        <w:t xml:space="preserve"> </w:t>
      </w:r>
      <w:r w:rsidR="003B7B0E">
        <w:t>Μονοπρόσωπη ΑΕΠΕΥ</w:t>
      </w:r>
      <w:r>
        <w:t xml:space="preserve"> (</w:t>
      </w:r>
      <w:r w:rsidR="000B2172">
        <w:t xml:space="preserve">οι </w:t>
      </w:r>
      <w:r>
        <w:t>«</w:t>
      </w:r>
      <w:r w:rsidRPr="0055707E">
        <w:rPr>
          <w:b/>
          <w:bCs/>
        </w:rPr>
        <w:t>Συντονιστές Τοποθέτησης</w:t>
      </w:r>
      <w:r>
        <w:t>»).</w:t>
      </w:r>
    </w:p>
    <w:p w14:paraId="2CDB0E34" w14:textId="649851D0" w:rsidR="0055707E" w:rsidRDefault="00516CEE" w:rsidP="0055707E">
      <w:pPr>
        <w:pStyle w:val="BodyText"/>
        <w:spacing w:before="121" w:after="120"/>
        <w:ind w:left="0" w:right="119"/>
      </w:pPr>
      <w:r w:rsidRPr="00516CEE">
        <w:t>Για να συμμετάσχει ο ενδιαφερόμενος επενδυτής στην Ελληνική Δημόσια Προσφορά, πρέπει να διατηρεί Μερίδα στο Σύστημα Άυλων Τίτλων («</w:t>
      </w:r>
      <w:r w:rsidRPr="00516CEE">
        <w:rPr>
          <w:b/>
          <w:bCs/>
        </w:rPr>
        <w:t>ΣΑΤ</w:t>
      </w:r>
      <w:r w:rsidRPr="00516CEE">
        <w:t>») που διαχειρίζεται η εταιρεία «Ελληνικό Κεντρικό Αποθετήριο Τίτλων Ανώνυμη Εταιρεία» («</w:t>
      </w:r>
      <w:r w:rsidRPr="00516CEE">
        <w:rPr>
          <w:b/>
          <w:bCs/>
        </w:rPr>
        <w:t>ΕΛΚΑΤ</w:t>
      </w:r>
      <w:r w:rsidRPr="00516CEE">
        <w:t xml:space="preserve">») και Λογαριασμό Αξιογράφων στο ΣΑΤ ή να ενεργεί μέσω Διαμεσολαβητή ή Εγγεγραμμένου Διαμεσολαβητή (όπως οι παραπάνω όροι ορίζονται στον Κανονισμό Λειτουργίας ΕΛΚΑΤ). Κάθε επενδυτής δύναται να υποβάλει αίτηση εγγραφής για τουλάχιστον μία (1) Νέα Μετοχή (ελάχιστο όριο </w:t>
      </w:r>
      <w:r w:rsidRPr="00516CEE">
        <w:lastRenderedPageBreak/>
        <w:t xml:space="preserve">συμμετοχής) ή για πολλαπλάσιο ακέραιο αριθμό Νέων Μετοχών με ανώτατο όριο το σύνολο των Νέων Μετοχών που διατίθενται μέσω της Συνδυασμένης Προσφοράς, ήτοι </w:t>
      </w:r>
      <w:r w:rsidR="00046EDB" w:rsidRPr="00213A04">
        <w:t>375.000.000</w:t>
      </w:r>
      <w:r w:rsidRPr="00516CEE">
        <w:t xml:space="preserve"> Νέες Μετοχές. Η αίτηση εγγραφής είναι νομικά δεσμευτική και δεν μπορεί να τροποποιηθεί ή να ανακληθεί μετά τη λήξη της περιόδου της Ελληνικής Δημόσιας Προσφοράς, οπότε οι αιτήσεις εγγραφής καθίστανται οριστικές και αμετάκλητες. Τροποποίηση ή ακύρωση αίτησης εγγραφής για την κάλυψη Νέων Μετοχών είναι δυνατή κατά τη διάρκεια της Ελληνικής Δημόσιας Προσφοράς, ακολουθώντας διαδικασία ανάλογη της αρχικής υποβολής. Το μέγιστο αντίτιμο για την εγγραφή των επενδυτών για Νέες Μετοχές ισούται με τον αριθμό των αιτούμενων Νέων Μετοχών επί την </w:t>
      </w:r>
      <w:r w:rsidR="00F33C6B">
        <w:t>Τιμή Διάθεσης</w:t>
      </w:r>
      <w:r w:rsidRPr="00516CEE">
        <w:t xml:space="preserve">. Πιο συγκεκριμένα, οι ενδιαφερόμενοι επενδυτές εγγράφονται για Νέες Μετοχές στην </w:t>
      </w:r>
      <w:r w:rsidR="003A168B">
        <w:t>Τιμή Διάθεσης</w:t>
      </w:r>
      <w:r w:rsidRPr="00516CEE">
        <w:t>, ήτοι €</w:t>
      </w:r>
      <w:r w:rsidR="00046EDB" w:rsidRPr="00213A04">
        <w:t>0,80</w:t>
      </w:r>
      <w:r w:rsidRPr="00516CEE">
        <w:t xml:space="preserve"> ανά Νέα Μετοχή. Με την υπογραφή και υποβολή της αίτησης εγγραφής του, ο επενδυτής δηλώνει ότι συμφωνεί να συμμετάσχει στην Ελληνική Δημόσια Προσφορά και αναλαμβάνει να καλύψει πρωτογενώς τις κατανεμηθείσες σε αυτόν Νέες Μετοχές, έναντι καταβολής του ποσού που αντιστοιχεί σε αυτές, σύμφωνα με τα ειδικότερα οριζόμενα στο Έγγραφο. Εάν η αίτηση εγγραφής δεν είναι προσηκόντως συμπληρωμένη, βάσει των όρων συμμετοχής στην Ελληνική Δημόσια Προσφορά και την Απόφαση Η.ΒΙ.Π., η αίτηση εγγραφής δεν θα γίνεται αποδεκτή και θα θεωρείται ως μη υποβληθείσα και ο ενδιαφερόμενος επενδυτής θα αποκλείεται από την κατανομή Νέων Μετοχών. Η αίτηση εγγραφής για τις Νέες Μετοχές πρέπει να περιλαμβάνει τον αριθμό της Μερίδας Επενδυτή, τον Λογαριασμό Αξιογράφων και τον κωδικό αριθμό του Συμμετέχοντα στο ΣΑΤ (όπως οι όροι αυτοί ορίζονται στον Κανονισμό Λειτουργίας ΕΛΚΑΤ), ενώ σε περίπτωση που κάποιος από τους αριθμούς αυτούς είναι εσφαλμένος, ο επενδυτής θα αποκλείεται από την κατανομή Νέων Μετοχών. Εάν μετά το πέρας της Ελληνικής Δημόσιας Προσφοράς διαπιστώνονται, με βάση τα στοιχεία ΣΑΤ, περισσότερες της μίας ίδιες εγγραφές, είτε μέσω Λογαριασμού Αξιογράφων Πελάτη, είτε μέσω Λογαριασμού Αξιογράφων Πελατείας (όπως οι όροι αυτοί ορίζονται στον Κανονισμό Λειτουργίας ΕΛΚΑΤ), τότε το σύνολο των αιτήσεων αυτών στην Ελληνική Δημόσια Προσφορά θα αντιμετωπίζεται ως μία ενιαία εγγραφή και θα ενοποιείται είτε σε μία αίτηση επενδυτή ανά Λογαριασμό Αξιογράφων Πελάτη, είτε σε μία συνολική αίτηση επενδυτή ανά Λογαριασμό Αξιογράφων Πελατείας, αντίστοιχα.</w:t>
      </w:r>
    </w:p>
    <w:p w14:paraId="6D71A273" w14:textId="42879744" w:rsidR="00516CEE" w:rsidRDefault="00516CEE" w:rsidP="00516CEE">
      <w:pPr>
        <w:pStyle w:val="BodyText"/>
        <w:spacing w:before="121" w:after="120"/>
        <w:ind w:left="0" w:right="119"/>
      </w:pPr>
      <w:r>
        <w:t xml:space="preserve">Κάθε αίτηση εγγραφής: (α) εφόσον υποβάλλεται μέσω Λογαριασμού Αξιογράφων Πελατείας, αναφέρει υποχρεωτικά τον αριθμό της Μερίδας του Εγγεγραμμένου Διαμεσολαβητή (όπως ορίζεται στον Κανονισμό Λειτουργίας ΕΛΚΑΤ) στο ΣΑΤ όπου θα πιστωθούν οι Νέες Μετοχές, (β) εφόσον υποβάλλεται μέσω Λογαριασμού Αξιογράφων Ιδίου (όπως ορίζεται στον Κανονισμό Λειτουργίας ΕΛΚΑΤ) ή Λογαριασμού Αξιογράφων Πελάτη, αντίστοιχα, κατονομάζει τον επενδυτή που την υποβάλλει και προσδιορίζει υποχρεωτικά τον αριθμό της σχετικής Μερίδας Ιδίου ή </w:t>
      </w:r>
      <w:r w:rsidR="00821381">
        <w:t xml:space="preserve">Μερίδας </w:t>
      </w:r>
      <w:r>
        <w:t xml:space="preserve">Πελάτη (όπως οι όροι αυτοί ορίζονται στον Κανονισμό Λειτουργίας ΕΛΚΑΤ), αντίστοιχα, συμπεριλαμβανομένης και της Κοινής Επενδυτικής Μερίδας (όπως ορίζεται στον Κανονισμό Λειτουργίας ΕΛΚΑΤ) (ως προς τους Ιδιώτες Επενδυτές) στο ΣΑΤ, (γ) περιλαμβάνει αίτημα συμμετοχής στην Ελληνική Δημόσια Προσφορά, καθώς και αίτημα - δήλωση ανάληψης υποχρέωσης κάλυψης προσδιοριζόμενου ακεραίου αριθμού Νέων Μετοχών, με ελάχιστο επιτρεπτό όριο τη μία (1) Νέα Μετοχή και μέγιστο επιτρεπτό όριο τις </w:t>
      </w:r>
      <w:r w:rsidR="00046EDB" w:rsidRPr="00213A04">
        <w:t>375.000.000</w:t>
      </w:r>
      <w:r>
        <w:t xml:space="preserve"> Νέες Μετοχές, (δ) είναι νομικά δεσμευτική, και (ε) δεν δύναται να ανακληθεί ή τροποποιηθεί μετά από τη λήξη της περιόδου της Ελληνικής Δημόσιας Προσφοράς, οπότε οι αιτήσεις καθίστανται οριστικές και αμετάκλητες.</w:t>
      </w:r>
    </w:p>
    <w:p w14:paraId="614C7808" w14:textId="3692B486" w:rsidR="0055707E" w:rsidRDefault="00516CEE" w:rsidP="00516CEE">
      <w:pPr>
        <w:pStyle w:val="BodyText"/>
        <w:spacing w:before="121" w:after="120"/>
        <w:ind w:left="0" w:right="119"/>
      </w:pPr>
      <w:r>
        <w:t>Μετά την κατανομή των Νέων Μετοχών στο πλαίσιο της Ελληνικής Δημόσιας Προσφοράς, ποσά που κατατέθηκαν ή δεσμεύτηκαν για έκαστο επενδυτή, σύμφωνα με τα ανωτέρω, αλλά δε χρησιμοποιήθηκαν, επιστρέφονται ατόκως στους δικαιούχους ή αποδεσμεύονται. Σημειώνεται ότι σε περίπτωση αίτησης εγγραφής επενδυτών, οι οποίοι είναι Μέτοχοι κατά την Ημερομηνία Καταγραφής για την άσκηση του Δικαιώματος Προνομιακής Κατανομής, μέσω συλλογικών λογαριασμών αξιογράφων (</w:t>
      </w:r>
      <w:proofErr w:type="spellStart"/>
      <w:r>
        <w:t>omnibus</w:t>
      </w:r>
      <w:proofErr w:type="spellEnd"/>
      <w:r>
        <w:t xml:space="preserve"> </w:t>
      </w:r>
      <w:proofErr w:type="spellStart"/>
      <w:r>
        <w:t>accounts</w:t>
      </w:r>
      <w:proofErr w:type="spellEnd"/>
      <w:r>
        <w:t xml:space="preserve">), έκαστος Συμμετέχων ΣΑΤ και έκαστος Εγγεγραμμένος Διαμεσολαβητής στον οποίο τηρείται ο σχετικός συλλογικός λογαριασμός αποδέχεται πλήρως την ευθύνη ότι θα εξασφαλίσει την εφαρμογή της </w:t>
      </w:r>
      <w:r>
        <w:lastRenderedPageBreak/>
        <w:t>αναλογικής κατανομής στους πελάτες του.</w:t>
      </w:r>
    </w:p>
    <w:p w14:paraId="4DA5B9F3" w14:textId="3AC7A60A" w:rsidR="0055707E" w:rsidRDefault="00516CEE" w:rsidP="0055707E">
      <w:pPr>
        <w:pStyle w:val="BodyText"/>
        <w:spacing w:before="121" w:after="120"/>
        <w:ind w:left="0" w:right="119"/>
      </w:pPr>
      <w:r w:rsidRPr="00516CEE">
        <w:t>Προκειμένου οι υφιστάμενοι κατά την Ημερομηνία Καταγραφής Μέτοχοι που συμμετέχουν στην Ελληνική Δημόσια Προσφορά να λάβουν κατά προτεραιότητα κατανομή Νέων Μετοχών, με βάση το Δικαίωμα Προνομιακής Κατανομής, θα πρέπει να υποβάλουν αίτηση εγγραφής στην οποία θα αναφέρεται, μεταξύ άλλων, ο Λογαριασμός Αξιογράφων στο ΣΑΤ στον οποίο οι ίδιοι τηρούν στο όνομά τους και μέσω του οποίου κατέχουν Μετοχές κατά την Ημερομηνία Καταγραφής, και τα στοιχεία του επενδυτή που περιλαμβάνονται στα ηλεκτρονικά αρχεία της ΕΛΚΑΤ κατά την Ημερομηνία Καταγραφής πρέπει να ταυτίζονται με τα στοιχεία που αναφέρονται στην αίτηση εγγραφής. Σε περίπτωση που υφιστάμενος Μέτοχος τηρεί Μετοχές σε περισσότερους του ενός Λογαριασμούς Αξιογράφων, τότε θα πρέπει να υποβάλλει ξεχωριστές αιτήσεις εγγραφής για έκαστο εξ αυτών, προκειμένου να ασκήσει το Δικαίωμα Προνομιακής Κατανομής για τις Μετοχές που τηρούνται σε έκαστο εξ αυτών των Λογαριασμών Αξιογράφων. Σημειώνεται ότι σε περίπτωση αίτησης εγγραφής των υφιστάμενων κατά την Ημερομηνία Καταγραφής Μετόχων μέσω συλλογικών λογαριασμών αξιογράφων (</w:t>
      </w:r>
      <w:proofErr w:type="spellStart"/>
      <w:r w:rsidRPr="00516CEE">
        <w:t>omnibus</w:t>
      </w:r>
      <w:proofErr w:type="spellEnd"/>
      <w:r w:rsidRPr="00516CEE">
        <w:t xml:space="preserve"> </w:t>
      </w:r>
      <w:proofErr w:type="spellStart"/>
      <w:r w:rsidRPr="00516CEE">
        <w:t>accounts</w:t>
      </w:r>
      <w:proofErr w:type="spellEnd"/>
      <w:r w:rsidRPr="00516CEE">
        <w:t>), έκαστος Συμμετέχων στον οποίο τηρείται ο σχετικός συλλογικός λογαριασμός και έκαστος Εγγεγραμμένος Διαμεσολαβητής αποδέχεται πλήρως την ευθύνη ότι θα διασφαλίσει την εφαρμογή της κατανομής των Νέων Μετοχών στους πελάτες του σύμφωνα με τους όρους της Ελληνικής Δημόσιας Προσφοράς, όπως αυτή θα αποφασιστεί από την Εταιρεία και θα πραγματοποιηθεί μέσω του Η.ΒΙ.Π</w:t>
      </w:r>
      <w:r w:rsidR="0055707E">
        <w:t>.</w:t>
      </w:r>
    </w:p>
    <w:p w14:paraId="0A2ED1A7" w14:textId="7AC621E8" w:rsidR="00ED6925" w:rsidRPr="0055707E" w:rsidRDefault="00516CEE" w:rsidP="0055707E">
      <w:pPr>
        <w:pStyle w:val="BodyText"/>
        <w:spacing w:before="121" w:after="120"/>
        <w:ind w:left="0" w:right="119"/>
      </w:pPr>
      <w:r w:rsidRPr="00516CEE">
        <w:t xml:space="preserve">Οι επενδυτές που εγγράφονται στην Ελληνική Δημόσια Προσφορά για Νέες Μετοχές δεν </w:t>
      </w:r>
      <w:proofErr w:type="spellStart"/>
      <w:r w:rsidRPr="00516CEE">
        <w:t>βαρύνονται</w:t>
      </w:r>
      <w:proofErr w:type="spellEnd"/>
      <w:r w:rsidRPr="00516CEE">
        <w:t xml:space="preserve"> με κόστη και φόρους για την καταχώρηση των Νέων Μετοχών στη Μερίδα Πελάτη και στο Λογαριασμό Αξιογράφων τους στο ΣΑΤ</w:t>
      </w:r>
      <w:r w:rsidR="0055707E">
        <w:t>.</w:t>
      </w:r>
    </w:p>
    <w:p w14:paraId="4C91BB69" w14:textId="11798CDA" w:rsidR="0002134F" w:rsidRPr="00567E92" w:rsidRDefault="008C5AC9" w:rsidP="00286FCD">
      <w:pPr>
        <w:pStyle w:val="Heading1"/>
        <w:ind w:left="0"/>
      </w:pPr>
      <w:r w:rsidRPr="0055707E">
        <w:t>Διαδικασία</w:t>
      </w:r>
      <w:r w:rsidRPr="0055707E">
        <w:rPr>
          <w:spacing w:val="-3"/>
        </w:rPr>
        <w:t xml:space="preserve"> </w:t>
      </w:r>
      <w:r w:rsidR="0055707E" w:rsidRPr="0055707E">
        <w:t>Συμμετοχής Ιδιωτών Επενδυτών στην Ελληνική Δημόσια Προσφορά</w:t>
      </w:r>
    </w:p>
    <w:p w14:paraId="5B4A91B2" w14:textId="25DA6187" w:rsidR="00ED6925" w:rsidRPr="0055707E" w:rsidRDefault="00516CEE" w:rsidP="00286FCD">
      <w:pPr>
        <w:pStyle w:val="BodyText"/>
        <w:spacing w:before="121" w:after="120"/>
        <w:ind w:left="0" w:right="119"/>
      </w:pPr>
      <w:r w:rsidRPr="00516CEE">
        <w:rPr>
          <w:rFonts w:asciiTheme="minorHAnsi" w:hAnsiTheme="minorHAnsi" w:cstheme="minorHAnsi"/>
          <w:color w:val="000000"/>
          <w:lang w:eastAsia="el-GR" w:bidi="el-GR"/>
        </w:rPr>
        <w:t xml:space="preserve">Οι ενδιαφερόμενοι Ιδιώτες Επενδυτές θα υποβάλουν αιτήσεις εγγραφής για Νέες Μετοχές μέσω των Μελών Η.Β.Ι.Π. </w:t>
      </w:r>
      <w:r w:rsidR="00821381">
        <w:rPr>
          <w:rFonts w:asciiTheme="minorHAnsi" w:hAnsiTheme="minorHAnsi" w:cstheme="minorHAnsi"/>
          <w:color w:val="000000"/>
          <w:lang w:eastAsia="el-GR" w:bidi="el-GR"/>
        </w:rPr>
        <w:t>(όπως ορίζονται στην Απόφαση Η.ΒΙ.Π.)</w:t>
      </w:r>
      <w:r w:rsidR="00821381" w:rsidRPr="00FF7A6B">
        <w:rPr>
          <w:rFonts w:asciiTheme="minorHAnsi" w:hAnsiTheme="minorHAnsi" w:cstheme="minorHAnsi"/>
          <w:color w:val="000000"/>
          <w:lang w:eastAsia="el-GR" w:bidi="el-GR"/>
        </w:rPr>
        <w:t xml:space="preserve"> </w:t>
      </w:r>
      <w:r w:rsidRPr="00516CEE">
        <w:rPr>
          <w:rFonts w:asciiTheme="minorHAnsi" w:hAnsiTheme="minorHAnsi" w:cstheme="minorHAnsi"/>
          <w:color w:val="000000"/>
          <w:lang w:eastAsia="el-GR" w:bidi="el-GR"/>
        </w:rPr>
        <w:t xml:space="preserve">και των Συμμετεχόντων που τηρούν τους λογαριασμούς αξιογράφων τους στο ΣΑΤ που </w:t>
      </w:r>
      <w:proofErr w:type="spellStart"/>
      <w:r w:rsidRPr="00516CEE">
        <w:rPr>
          <w:rFonts w:asciiTheme="minorHAnsi" w:hAnsiTheme="minorHAnsi" w:cstheme="minorHAnsi"/>
          <w:color w:val="000000"/>
          <w:lang w:eastAsia="el-GR" w:bidi="el-GR"/>
        </w:rPr>
        <w:t>συνεργαζόνται</w:t>
      </w:r>
      <w:proofErr w:type="spellEnd"/>
      <w:r w:rsidRPr="00516CEE">
        <w:rPr>
          <w:rFonts w:asciiTheme="minorHAnsi" w:hAnsiTheme="minorHAnsi" w:cstheme="minorHAnsi"/>
          <w:color w:val="000000"/>
          <w:lang w:eastAsia="el-GR" w:bidi="el-GR"/>
        </w:rPr>
        <w:t xml:space="preserve"> με Μέλη Η.ΒΙ.Π. για την υποβολή αιτήσεων εγγραφής, καθώς και στα υποκαταστήματα της CrediaBank κατά τις εργάσιμες ημέρες και ώρες. Θα διενεργείται έλεγχος από το Η.ΒΙ.Π. στο σύνολο των αιτήσεων εγγραφής που εισάγονται από όλα τα Μέλη Η.Β.Ι.Π., ώστε κάθε εντολέας δικαιούχος Λογαριασμού Αξιογράφων Πελάτη και </w:t>
      </w:r>
      <w:proofErr w:type="spellStart"/>
      <w:r w:rsidRPr="00516CEE">
        <w:rPr>
          <w:rFonts w:asciiTheme="minorHAnsi" w:hAnsiTheme="minorHAnsi" w:cstheme="minorHAnsi"/>
          <w:color w:val="000000"/>
          <w:lang w:eastAsia="el-GR" w:bidi="el-GR"/>
        </w:rPr>
        <w:t>συνδικαιούχος</w:t>
      </w:r>
      <w:proofErr w:type="spellEnd"/>
      <w:r w:rsidRPr="00516CEE">
        <w:rPr>
          <w:rFonts w:asciiTheme="minorHAnsi" w:hAnsiTheme="minorHAnsi" w:cstheme="minorHAnsi"/>
          <w:color w:val="000000"/>
          <w:lang w:eastAsia="el-GR" w:bidi="el-GR"/>
        </w:rPr>
        <w:t xml:space="preserve"> ΚΕΜ να παραλάβει τίτλους σε ένα μόνο Λογαριασμό Αξιογράφων του ΣΑΤ (είτε στο Λογαριασμό Αξιογράφων Πελάτη είτε της ΚΕΜ). Αν για έναν εντολέα υπάρχουν περισσότερες από μία αιτήσεις εγγραφής, με παραλήπτη είτε Λογαριασμό Αξιογράφων Πελάτη και ΚΕΜ, είτε περισσότερες της μίας ΚΕΜ στις οποίες συμμετέχει ως </w:t>
      </w:r>
      <w:proofErr w:type="spellStart"/>
      <w:r w:rsidRPr="00516CEE">
        <w:rPr>
          <w:rFonts w:asciiTheme="minorHAnsi" w:hAnsiTheme="minorHAnsi" w:cstheme="minorHAnsi"/>
          <w:color w:val="000000"/>
          <w:lang w:eastAsia="el-GR" w:bidi="el-GR"/>
        </w:rPr>
        <w:t>συνδικαιούχος</w:t>
      </w:r>
      <w:proofErr w:type="spellEnd"/>
      <w:r w:rsidRPr="00516CEE">
        <w:rPr>
          <w:rFonts w:asciiTheme="minorHAnsi" w:hAnsiTheme="minorHAnsi" w:cstheme="minorHAnsi"/>
          <w:color w:val="000000"/>
          <w:lang w:eastAsia="el-GR" w:bidi="el-GR"/>
        </w:rPr>
        <w:t xml:space="preserve">, τότε το σύνολο των εγγραφών αυτών θα αντιμετωπίζεται ως ενιαία εγγραφή και θα ενοποιείται. Οι Ιδιώτες Επενδυτές που εγγράφονται για την απόκτηση Νέων Μετοχών θα πρέπει να προσκομίσουν αστυνομική ταυτότητα/διαβατήριο, τον Αριθμό Φορολογικού Μητρώου (ΑΦΜ) τους, και εκτύπωση των στοιχείων ΣΑΤ από την ΕΛΚΑΤ. Πέραν των ανωτέρω, όσοι Ιδιώτες Επενδυτές εγγράφονται μέσω των καταστημάτων της CrediaBank, εάν δεν διατηρούν ήδη λογαριασμό καταθέσεων στην CrediaBank, θα απαιτείται επίσης η προσκόμιση αντιγράφου του πιο πρόσφατου εκκαθαριστικού σημειώματος φόρου εισοδήματος, βεβαίωση εργοδότη ή αντίγραφο μισθοδοσίας ή παραστατικό ασφαλιστικού φορέα και βεβαίωση κατοικίας εάν είναι διαφορετική από το εκκαθαριστικό. Οι αιτήσεις εγγραφής των ενδιαφερόμενων Ιδιωτών Επενδυτών, ανεξαρτήτως του τρόπου με τον οποίο υποβάλλονται, θα γίνονται αποδεκτές, υπό την προϋπόθεση ότι ποσό ίσο με το συνολικό ποσό της εγγραφής τους για τις Νέες Μετοχές έχει κατατεθεί, με μετρητά ή με τραπεζική επιταγή, ή έχει δεσμευθεί το ισόποσο τίμημα σε κάθε είδους τραπεζικούς λογαριασμούς καταθέσεων των Ιδιωτών Επενδυτών ή τραπεζικούς λογαριασμούς πελατών που τηρούνται στο πλαίσιο παροχής επενδυτικών υπηρεσιών και στους οποίους εμφανίζονται ως δικαιούχοι ή </w:t>
      </w:r>
      <w:proofErr w:type="spellStart"/>
      <w:r w:rsidRPr="00516CEE">
        <w:rPr>
          <w:rFonts w:asciiTheme="minorHAnsi" w:hAnsiTheme="minorHAnsi" w:cstheme="minorHAnsi"/>
          <w:color w:val="000000"/>
          <w:lang w:eastAsia="el-GR" w:bidi="el-GR"/>
        </w:rPr>
        <w:t>συνδικαιούχοι</w:t>
      </w:r>
      <w:proofErr w:type="spellEnd"/>
      <w:r w:rsidRPr="00516CEE">
        <w:rPr>
          <w:rFonts w:asciiTheme="minorHAnsi" w:hAnsiTheme="minorHAnsi" w:cstheme="minorHAnsi"/>
          <w:color w:val="000000"/>
          <w:lang w:eastAsia="el-GR" w:bidi="el-GR"/>
        </w:rPr>
        <w:t xml:space="preserve">. Μετά την κατανομή των Νέων Μετοχών στο πλαίσιο της Ελληνικής Δημόσιας Προσφοράς, ποσά που κατατέθηκαν ή δεσμεύτηκαν για έκαστο Ιδιώτη Επενδυτή, σύμφωνα </w:t>
      </w:r>
      <w:r w:rsidRPr="00516CEE">
        <w:rPr>
          <w:rFonts w:asciiTheme="minorHAnsi" w:hAnsiTheme="minorHAnsi" w:cstheme="minorHAnsi"/>
          <w:color w:val="000000"/>
          <w:lang w:eastAsia="el-GR" w:bidi="el-GR"/>
        </w:rPr>
        <w:lastRenderedPageBreak/>
        <w:t>με τα ανωτέρω, αλλά δεν χρησιμοποιήθηκαν, επιστρέφονται ατόκως στους δικαιούχους ή αποδεσμεύονται, κατά περίπτωση</w:t>
      </w:r>
      <w:r w:rsidR="00A00BAD" w:rsidRPr="00FF7A6B">
        <w:rPr>
          <w:rFonts w:asciiTheme="minorHAnsi" w:hAnsiTheme="minorHAnsi" w:cstheme="minorHAnsi"/>
          <w:color w:val="000000"/>
          <w:lang w:eastAsia="el-GR" w:bidi="el-GR"/>
        </w:rPr>
        <w:t>.</w:t>
      </w:r>
    </w:p>
    <w:p w14:paraId="38829718" w14:textId="12D4FBED" w:rsidR="0002134F" w:rsidRPr="00724ED3" w:rsidRDefault="008C5AC9" w:rsidP="00286FCD">
      <w:pPr>
        <w:pStyle w:val="Heading1"/>
        <w:spacing w:before="4"/>
        <w:ind w:left="0"/>
      </w:pPr>
      <w:r w:rsidRPr="00724ED3">
        <w:t>Διαδικασία</w:t>
      </w:r>
      <w:r w:rsidRPr="00724ED3">
        <w:rPr>
          <w:spacing w:val="-3"/>
        </w:rPr>
        <w:t xml:space="preserve"> </w:t>
      </w:r>
      <w:r w:rsidR="0055707E" w:rsidRPr="0055707E">
        <w:t>Συμμετοχής Ειδικών Επενδυτών στην Ελληνική Δημόσια Προσφορά</w:t>
      </w:r>
    </w:p>
    <w:p w14:paraId="5AB7BF62" w14:textId="2EBFCDFA" w:rsidR="00516CEE" w:rsidRDefault="00516CEE" w:rsidP="00516CEE">
      <w:pPr>
        <w:pStyle w:val="BodyText"/>
        <w:spacing w:before="121"/>
        <w:ind w:left="0" w:right="120"/>
      </w:pPr>
      <w:r>
        <w:t xml:space="preserve">Για τη συμμετοχή τους στην Ελληνική Δημόσια Προσφορά, οι ενδιαφερόμενοι Ειδικοί Επενδυτές θα πρέπει να απευθύνονται στους Συντονιστές Τοποθέτησης, ήτοι στις EUROXX ΧΡΗΜΑΤΙΣΤΗΡΙΑΚΗ Α.Ε.Π.Ε.Υ., ΠΑΝΤΕΛΑΚΗΣ ΧΡΗΜΑΤΙΣΤΗΡΙΑΚΗ Α.Ε.Π.Ε.Υ., </w:t>
      </w:r>
      <w:r w:rsidR="00821381" w:rsidRPr="00BE0486">
        <w:t xml:space="preserve">Τράπεζα </w:t>
      </w:r>
      <w:proofErr w:type="spellStart"/>
      <w:r w:rsidR="00821381">
        <w:t>Optima</w:t>
      </w:r>
      <w:proofErr w:type="spellEnd"/>
      <w:r w:rsidR="00821381" w:rsidRPr="00BE0486">
        <w:t xml:space="preserve"> </w:t>
      </w:r>
      <w:r w:rsidR="00821381">
        <w:rPr>
          <w:lang w:val="en-GB"/>
        </w:rPr>
        <w:t>bank</w:t>
      </w:r>
      <w:r w:rsidR="00821381" w:rsidRPr="00BE0486">
        <w:t xml:space="preserve"> </w:t>
      </w:r>
      <w:r w:rsidR="00821381">
        <w:rPr>
          <w:lang w:val="en-GB"/>
        </w:rPr>
        <w:t>A</w:t>
      </w:r>
      <w:r w:rsidR="00821381" w:rsidRPr="00BE0486">
        <w:t>.</w:t>
      </w:r>
      <w:r w:rsidR="00821381">
        <w:rPr>
          <w:lang w:val="en-GB"/>
        </w:rPr>
        <w:t>E</w:t>
      </w:r>
      <w:r>
        <w:t xml:space="preserve">. </w:t>
      </w:r>
      <w:r w:rsidR="00A60B52">
        <w:t xml:space="preserve">και </w:t>
      </w:r>
      <w:proofErr w:type="spellStart"/>
      <w:r w:rsidR="00A60B52" w:rsidRPr="00A60B52">
        <w:t>Ambrosia</w:t>
      </w:r>
      <w:proofErr w:type="spellEnd"/>
      <w:r w:rsidR="00A60B52" w:rsidRPr="00A60B52">
        <w:t xml:space="preserve"> Capital </w:t>
      </w:r>
      <w:proofErr w:type="spellStart"/>
      <w:r w:rsidR="00A60B52" w:rsidRPr="00A60B52">
        <w:t>Hellas</w:t>
      </w:r>
      <w:proofErr w:type="spellEnd"/>
      <w:r w:rsidR="00A60B52" w:rsidRPr="00A60B52">
        <w:t xml:space="preserve"> </w:t>
      </w:r>
      <w:r w:rsidR="00A60B52">
        <w:t>Μονοπρόσωπη ΑΕΠΕΥ,</w:t>
      </w:r>
      <w:r w:rsidR="00A60B52" w:rsidRPr="00A60B52">
        <w:t xml:space="preserve"> </w:t>
      </w:r>
      <w:r>
        <w:t xml:space="preserve">προκειμένου να υποβάλουν σχετική αίτηση εγγραφής χωρίς δέσμευση του αντίστοιχου χρηματικού ποσού. Το ποσό που αντιστοιχεί στην αξία των Νέων Μετοχών, οι οποίες τελικώς θα κατανεμηθούν σε έκαστο Ειδικό Επενδυτή που υπέβαλε εμπροθέσμως και προσηκόντως αίτηση εγγραφής, πρέπει να έχει καταβληθεί στο λογαριασμό της ΕΛ.Κ.Α.Τ. μέχρι τις 11:00 </w:t>
      </w:r>
      <w:r w:rsidR="00821381" w:rsidRPr="00645BC8">
        <w:t>π.μ.</w:t>
      </w:r>
      <w:r w:rsidR="00821381">
        <w:t xml:space="preserve"> </w:t>
      </w:r>
      <w:r>
        <w:t>ώρα Ελλάδος της δεύτερης εργάσιμης ημέρας από την κατανομή των Νέων Μετοχών, σύμφωνα με τα οριζόμενα στην Απόφαση Η.ΒΙ.Π. Οι Συντονιστές Τοποθέτησης, σε συνεργασία με την Εταιρεία, δύνανται κατά την απόλυτη διακριτική τους ευχέρεια να παρατείνουν την εν λόγω χρονική προθεσμία εντός της ίδιας ημέρας.</w:t>
      </w:r>
    </w:p>
    <w:p w14:paraId="2AF24467" w14:textId="56360278" w:rsidR="00ED6925" w:rsidRPr="0055707E" w:rsidRDefault="00516CEE" w:rsidP="00516CEE">
      <w:pPr>
        <w:pStyle w:val="BodyText"/>
        <w:spacing w:before="121"/>
        <w:ind w:left="0" w:right="120"/>
      </w:pPr>
      <w:r>
        <w:t>Οι Ειδικοί Επενδυτές δύνανται να συμμετάσχουν ταυτόχρονα στην Ελληνική Δημόσια Προσφορά και στη Διεθνή Προσφορά. Προς αποφυγή πάσης αμφιβολίας το Δικαίωμα Προνομιακής Κατανομής που αφορά στους υφιστάμενους κατά την Ημερομηνία Καταγραφής Μετόχους παρέχεται μόνο στην Ελληνική Δημόσια Προσφορά (βλ. αναλυτικότερα κατωτέρω).</w:t>
      </w:r>
    </w:p>
    <w:p w14:paraId="4EB22BF1" w14:textId="2A2C7B4B" w:rsidR="0002134F" w:rsidRPr="00724ED3" w:rsidRDefault="0055707E" w:rsidP="00286FCD">
      <w:pPr>
        <w:pStyle w:val="Heading1"/>
        <w:spacing w:before="122"/>
        <w:ind w:left="0" w:right="114"/>
      </w:pPr>
      <w:r w:rsidRPr="0055707E">
        <w:t xml:space="preserve">ΔΙΑΔΙΚΑΣΙΑ </w:t>
      </w:r>
      <w:r w:rsidR="008C5AC9" w:rsidRPr="0055707E">
        <w:t>ΚΑΤΑΝΟΜΗ</w:t>
      </w:r>
      <w:r w:rsidRPr="0055707E">
        <w:t>Σ ΝΕΩΝ</w:t>
      </w:r>
      <w:r>
        <w:t xml:space="preserve"> ΜΕΤΟΧΩΝ – ΠΡΟΝΟΜΙΑΚΗ ΚΑΤΑΝΟΜΗ</w:t>
      </w:r>
    </w:p>
    <w:p w14:paraId="37C1368F" w14:textId="5ECFECF3" w:rsidR="00E86F6A" w:rsidRPr="009B2942" w:rsidRDefault="00E86F6A" w:rsidP="0055707E">
      <w:pPr>
        <w:pStyle w:val="BodyText"/>
        <w:spacing w:before="121"/>
        <w:ind w:left="0" w:right="120"/>
      </w:pPr>
      <w:r w:rsidRPr="00E86F6A">
        <w:t xml:space="preserve">Οι Νέες Μετοχές που προσφέρονται μέσω της Συνδυασμένης Προσφοράς έχουν αρχικά κατανεμηθεί μεταξύ της Ελληνικής Δημόσιας Προσφοράς και της Διεθνούς Προσφοράς ως εξής: (i) </w:t>
      </w:r>
      <w:r w:rsidR="00095A7E" w:rsidRPr="004368CA">
        <w:t>20</w:t>
      </w:r>
      <w:r w:rsidRPr="00E86F6A">
        <w:t xml:space="preserve">%, που αντιστοιχεί σε έως </w:t>
      </w:r>
      <w:r w:rsidR="00046EDB" w:rsidRPr="00213A04">
        <w:t>75.000.000</w:t>
      </w:r>
      <w:r w:rsidRPr="00E86F6A">
        <w:t xml:space="preserve"> Νέες Μετοχές θα διατεθεί μέσω της Ελληνικής Δημόσιας Προσφοράς, και (</w:t>
      </w:r>
      <w:proofErr w:type="spellStart"/>
      <w:r w:rsidRPr="00E86F6A">
        <w:t>ii</w:t>
      </w:r>
      <w:proofErr w:type="spellEnd"/>
      <w:r w:rsidRPr="00E86F6A">
        <w:t xml:space="preserve">) </w:t>
      </w:r>
      <w:r w:rsidR="00095A7E" w:rsidRPr="004368CA">
        <w:t>80</w:t>
      </w:r>
      <w:r w:rsidRPr="00E86F6A">
        <w:t xml:space="preserve">%, που αντιστοιχεί σε έως </w:t>
      </w:r>
      <w:r w:rsidR="00046EDB" w:rsidRPr="00213A04">
        <w:t>300.000.000</w:t>
      </w:r>
      <w:r w:rsidRPr="00E86F6A">
        <w:t xml:space="preserve"> Νέες Μετοχές θα διατεθεί μέσω της Διεθνούς Προσφοράς, με την επιφύλαξη της κατά προτεραιότητα ικανοποίησης των εγγραφών που θα υποβληθούν κατ’ ενάσκηση του Δικαιώματος Προνομιακής Κατανομής. Η Εταιρεία έχει το δικαίωμα να τροποποιήσει την εν λόγω αρχική κατανομή, κατά τη διακριτική της ευχέρεια, με βάση τη ζήτηση που εκφράζεται σε κάθε μέρος της Συνδυασμένης Προσφοράς μετά τη λήξη της περιόδου της Συνδυασμένης Προσφοράς, με απόφαση του Δ.Σ., υπό την επιφύλαξη </w:t>
      </w:r>
      <w:r w:rsidR="00794F60">
        <w:t>της</w:t>
      </w:r>
      <w:r w:rsidRPr="00E86F6A">
        <w:t xml:space="preserve"> Προνομιακής Κατανομής</w:t>
      </w:r>
      <w:r w:rsidR="0000131B">
        <w:t xml:space="preserve"> </w:t>
      </w:r>
      <w:r w:rsidR="0000131B" w:rsidRPr="0000131B">
        <w:t>(όπως ορίζεται κατωτέρω)</w:t>
      </w:r>
      <w:r w:rsidRPr="00E86F6A">
        <w:t>. Νέες Μετοχές που επιμερίστηκαν αρχικώς, κατά περίπτωση, στην Ελληνική Δημόσια Προσφορά ή στη Διεθνή Προσφορά, αλλά δεν αναλήφθηκαν τελικώς, δύνανται να ανακατανεμηθούν σε επενδυτές που θα έχουν εγγραφεί στο έτερο σκέλος της Συνδυασμένης Προσφοράς, στο μέτρο που οι εντολές που θα έχουν υποβληθεί σε αυτό το έτερο σκέλος υπερβαίνουν την ανωτέρω αρχική κατανομή και υποστηρίζουν αυτήν την ανακατανομή.</w:t>
      </w:r>
    </w:p>
    <w:p w14:paraId="686656B8" w14:textId="210429B8" w:rsidR="0055707E" w:rsidRDefault="00516CEE" w:rsidP="0055707E">
      <w:pPr>
        <w:pStyle w:val="BodyText"/>
        <w:spacing w:before="121"/>
        <w:ind w:left="0" w:right="120"/>
      </w:pPr>
      <w:r w:rsidRPr="00516CEE">
        <w:t>Από το σύνολο των Νέων Μετοχών που θα διατεθούν τελικώς στην Ελληνική Δημόσια Προσφορά, ο αριθμός των Νέων Μετοχών που θα κατανεμηθεί σε Ιδιώτες Επενδυτές και Ειδικούς Επενδυτές</w:t>
      </w:r>
      <w:r w:rsidR="00821381">
        <w:t>,</w:t>
      </w:r>
      <w:r w:rsidRPr="00516CEE">
        <w:t xml:space="preserve"> αντιστοίχως</w:t>
      </w:r>
      <w:r w:rsidR="00821381">
        <w:t>,</w:t>
      </w:r>
      <w:r w:rsidRPr="00516CEE">
        <w:t xml:space="preserve"> θα καθοριστεί μετά την ολοκλήρωση της Συνδυασμένης Προσφοράς</w:t>
      </w:r>
      <w:r w:rsidR="0055707E">
        <w:t>.</w:t>
      </w:r>
    </w:p>
    <w:p w14:paraId="3919C881" w14:textId="07A30CE5" w:rsidR="0055707E" w:rsidRDefault="00516CEE" w:rsidP="0055707E">
      <w:pPr>
        <w:pStyle w:val="BodyText"/>
        <w:spacing w:before="121"/>
        <w:ind w:left="0" w:right="120"/>
      </w:pPr>
      <w:r w:rsidRPr="00516CEE">
        <w:t xml:space="preserve">Ιδιώτες Επενδυτές και Ειδικοί Επενδυτές που είναι Μέτοχοι, οι οποίοι είναι καταγεγραμμένοι στα ηλεκτρονικά αρχεία της ΕΛΚΑΤ στο κλείσιμο της διαπραγμάτευσης των υφιστάμενων Μετοχών κατά την Ημερομηνία Καταγραφής, ήτοι την </w:t>
      </w:r>
      <w:r w:rsidR="00821381">
        <w:t>30.03.</w:t>
      </w:r>
      <w:r w:rsidRPr="00516CEE">
        <w:t>2026, και οι οποίοι εγγράφονται για Νέες Μετοχές στο πλαίσιο της Ελληνικής Δημόσιας Προσφοράς («</w:t>
      </w:r>
      <w:r w:rsidRPr="00516CEE">
        <w:rPr>
          <w:b/>
          <w:bCs/>
        </w:rPr>
        <w:t>Κατά Προτεραιότητα Επενδυτές</w:t>
      </w:r>
      <w:r w:rsidRPr="00516CEE">
        <w:t>»), θα δικαιούνται προνομιακής κατανομής κατά αναλογία (</w:t>
      </w:r>
      <w:proofErr w:type="spellStart"/>
      <w:r w:rsidRPr="00516CEE">
        <w:t>pro</w:t>
      </w:r>
      <w:proofErr w:type="spellEnd"/>
      <w:r w:rsidRPr="00516CEE">
        <w:t xml:space="preserve"> </w:t>
      </w:r>
      <w:proofErr w:type="spellStart"/>
      <w:r w:rsidRPr="00516CEE">
        <w:t>rata</w:t>
      </w:r>
      <w:proofErr w:type="spellEnd"/>
      <w:r w:rsidRPr="00516CEE">
        <w:t>) προς την συμμετοχή τους στο μετοχικό κεφάλαιο της Εταιρείας κατά την Ημερομηνία Καταγραφής («</w:t>
      </w:r>
      <w:r w:rsidRPr="00516CEE">
        <w:rPr>
          <w:b/>
          <w:bCs/>
        </w:rPr>
        <w:t>Προνομιακή Κατανομή</w:t>
      </w:r>
      <w:r w:rsidRPr="00516CEE">
        <w:t>»), ώστε να δύνανται να διατηρήσουν αμετάβλητο το ποσοστό συμμετοχής τους σε σχέση με το ποσοστό που κατέχουν στο μετοχικό κεφάλαιο της Εταιρείας πριν από την Αύξηση Μετοχικού Κεφαλαίου</w:t>
      </w:r>
      <w:r w:rsidR="00095A7E" w:rsidRPr="004368CA">
        <w:t xml:space="preserve"> (</w:t>
      </w:r>
      <w:r w:rsidR="00095A7E" w:rsidRPr="00AA548B">
        <w:rPr>
          <w:rFonts w:ascii="Arial" w:hAnsi="Arial" w:cs="Arial"/>
          <w:color w:val="000000"/>
          <w:sz w:val="20"/>
          <w:szCs w:val="20"/>
          <w:lang w:eastAsia="el-GR" w:bidi="el-GR"/>
        </w:rPr>
        <w:t xml:space="preserve">ήτοι με αναλογία </w:t>
      </w:r>
      <w:r w:rsidR="00095A7E">
        <w:rPr>
          <w:rFonts w:ascii="Arial" w:hAnsi="Arial" w:cs="Arial"/>
          <w:color w:val="000000"/>
          <w:sz w:val="20"/>
          <w:szCs w:val="20"/>
          <w:lang w:eastAsia="el-GR" w:bidi="el-GR"/>
        </w:rPr>
        <w:t>0,23176583713304</w:t>
      </w:r>
      <w:r w:rsidR="00095A7E" w:rsidRPr="00AA548B">
        <w:rPr>
          <w:rFonts w:ascii="Arial" w:hAnsi="Arial" w:cs="Arial"/>
          <w:color w:val="000000"/>
          <w:sz w:val="20"/>
          <w:szCs w:val="20"/>
          <w:lang w:eastAsia="el-GR" w:bidi="el-GR"/>
        </w:rPr>
        <w:t xml:space="preserve"> Νέες </w:t>
      </w:r>
      <w:r w:rsidR="00095A7E" w:rsidRPr="00AA548B">
        <w:rPr>
          <w:rFonts w:ascii="Arial" w:hAnsi="Arial" w:cs="Arial"/>
          <w:color w:val="000000"/>
          <w:sz w:val="20"/>
          <w:szCs w:val="20"/>
          <w:lang w:eastAsia="el-GR" w:bidi="el-GR"/>
        </w:rPr>
        <w:lastRenderedPageBreak/>
        <w:t xml:space="preserve">Μετοχές για κάθε μία υφιστάμενη </w:t>
      </w:r>
      <w:r w:rsidR="00095A7E">
        <w:rPr>
          <w:rFonts w:ascii="Arial" w:hAnsi="Arial" w:cs="Arial"/>
          <w:color w:val="000000"/>
          <w:sz w:val="20"/>
          <w:szCs w:val="20"/>
          <w:lang w:eastAsia="el-GR" w:bidi="el-GR"/>
        </w:rPr>
        <w:t>μ</w:t>
      </w:r>
      <w:r w:rsidR="00095A7E" w:rsidRPr="00AA548B">
        <w:rPr>
          <w:rFonts w:ascii="Arial" w:hAnsi="Arial" w:cs="Arial"/>
          <w:color w:val="000000"/>
          <w:sz w:val="20"/>
          <w:szCs w:val="20"/>
          <w:lang w:eastAsia="el-GR" w:bidi="el-GR"/>
        </w:rPr>
        <w:t>ετοχή</w:t>
      </w:r>
      <w:r w:rsidR="00095A7E" w:rsidRPr="004368CA">
        <w:rPr>
          <w:rFonts w:ascii="Arial" w:hAnsi="Arial" w:cs="Arial"/>
          <w:color w:val="000000"/>
          <w:sz w:val="20"/>
          <w:szCs w:val="20"/>
          <w:lang w:eastAsia="el-GR" w:bidi="el-GR"/>
        </w:rPr>
        <w:t>)</w:t>
      </w:r>
      <w:r w:rsidRPr="00516CEE">
        <w:t>, υπό την προϋπόθεση ότι επιλέγουν να συμμετάσχουν στην Ελληνική Δημόσια Προσφορά</w:t>
      </w:r>
      <w:r w:rsidR="0055707E">
        <w:t xml:space="preserve">. </w:t>
      </w:r>
    </w:p>
    <w:p w14:paraId="3EA0AF85" w14:textId="77777777" w:rsidR="00516CEE" w:rsidRDefault="00516CEE" w:rsidP="00516CEE">
      <w:pPr>
        <w:pStyle w:val="BodyText"/>
        <w:spacing w:before="121"/>
        <w:ind w:left="0" w:right="120"/>
      </w:pPr>
      <w:r>
        <w:t>Υφιστάμενοι Μέτοχοι που εγγράφονται μέσω της Διεθνούς Προσφοράς δεν θα δικαιούνται Προνομιακής Κατανομής.</w:t>
      </w:r>
    </w:p>
    <w:p w14:paraId="357A5204" w14:textId="1726C407" w:rsidR="00516CEE" w:rsidRDefault="00516CEE" w:rsidP="00516CEE">
      <w:pPr>
        <w:pStyle w:val="BodyText"/>
        <w:spacing w:before="121"/>
        <w:ind w:left="0" w:right="120"/>
      </w:pPr>
      <w:r>
        <w:t>Εάν η εγγραφή Κατά Προτεραιότητα Επενδυτή στην Ελληνική Δημόσια Προσφορά υπερβαίνει το ποσοστό συμμετοχής του στο μετοχικό κεφάλαιο της Εταιρείας ως αυτό έχει κατά την Ημερομηνία Καταγραφής, ο Κατά Προτεραιότητα Επενδυτής θα δικαιούται Προνομιακής Κατανομής μόνο κατά το μέρος που αντιστοιχεί στο εν λόγω υφιστάμενο ποσοστό συμμετοχής του στο μετοχικό κεφάλαιο της Εταιρείας. Οι εγγραφές για Νέες Μετοχές που υποβάλλονται από Κατά Προτεραιότητα Επενδυτές, κατά το μέρος που δεν ικανοποιούνται μέσω της άσκησης του Δικαιώματος Προνομιακής Κατανομής, θα προστίθενται στις εγγραφές για Νέες Μετοχές που υποβάλλονται από επενδυτές οι οποίοι δεν αποτελούν Κατά Προτεραιότητα Επενδυτές (από κοινού «</w:t>
      </w:r>
      <w:r w:rsidRPr="00516CEE">
        <w:rPr>
          <w:b/>
          <w:bCs/>
        </w:rPr>
        <w:t>Υπερβάλλουσες Εγγραφές</w:t>
      </w:r>
      <w:r>
        <w:t>»).</w:t>
      </w:r>
    </w:p>
    <w:p w14:paraId="7563E56D" w14:textId="0EE67029" w:rsidR="0055707E" w:rsidRDefault="00516CEE" w:rsidP="00516CEE">
      <w:pPr>
        <w:pStyle w:val="BodyText"/>
        <w:spacing w:before="121"/>
        <w:ind w:left="0" w:right="120"/>
      </w:pPr>
      <w:r>
        <w:t xml:space="preserve">Μετά την κατανομή Νέων Μετοχών στους Κατά Προτεραιότητα Επενδυτές σύμφωνα με τα ανωτέρω, οι </w:t>
      </w:r>
      <w:r w:rsidR="00821381">
        <w:t xml:space="preserve">τυχόν αδιάθετες </w:t>
      </w:r>
      <w:r>
        <w:t>Νέες Μετοχές που θα διατεθούν μέσω της Ελληνικής Δημόσιας Προσφοράς, θα κατανεμηθούν ως ακολούθως:</w:t>
      </w:r>
    </w:p>
    <w:p w14:paraId="146581C8" w14:textId="77777777" w:rsidR="0055707E" w:rsidRPr="0055707E" w:rsidRDefault="0055707E" w:rsidP="0055707E">
      <w:pPr>
        <w:pStyle w:val="BodyText"/>
        <w:spacing w:before="121"/>
        <w:ind w:left="0" w:right="120"/>
        <w:rPr>
          <w:i/>
          <w:iCs/>
        </w:rPr>
      </w:pPr>
      <w:r w:rsidRPr="0055707E">
        <w:rPr>
          <w:i/>
          <w:iCs/>
        </w:rPr>
        <w:t>Υπερβάλλουσες Εγγραφές από Ιδιώτες Επενδυτές</w:t>
      </w:r>
    </w:p>
    <w:p w14:paraId="764D74D8" w14:textId="42F0F8AD" w:rsidR="00EE3AB1" w:rsidRPr="00567E92" w:rsidRDefault="00EE3AB1" w:rsidP="00EE3AB1">
      <w:pPr>
        <w:pStyle w:val="ListParagraph"/>
        <w:numPr>
          <w:ilvl w:val="0"/>
          <w:numId w:val="5"/>
        </w:numPr>
        <w:autoSpaceDE/>
        <w:autoSpaceDN/>
        <w:spacing w:before="0" w:line="271" w:lineRule="auto"/>
        <w:ind w:left="0" w:hanging="284"/>
        <w:contextualSpacing/>
        <w:jc w:val="both"/>
        <w:rPr>
          <w:lang w:eastAsia="el-GR" w:bidi="el-GR"/>
        </w:rPr>
      </w:pPr>
      <w:r w:rsidRPr="00567E92">
        <w:rPr>
          <w:lang w:eastAsia="el-GR" w:bidi="el-GR"/>
        </w:rPr>
        <w:t xml:space="preserve">σε </w:t>
      </w:r>
      <w:r w:rsidR="00B974BA" w:rsidRPr="00B974BA">
        <w:rPr>
          <w:lang w:eastAsia="el-GR" w:bidi="el-GR"/>
        </w:rPr>
        <w:t>περίπτωση που οι Νέες Μετοχές που θα διατεθούν τελικώς στην κατηγορία των Ιδιωτών Επενδυτών (όπως θα καθοριστεί με την ολοκλήρωση της Συνδυασμένης Προσφοράς) δεν υπερκαλυφθούν, οι Υπερβάλλουσες Εγγραφές που έχουν εγκύρως υποβληθεί από Ιδιώτες Επενδυτές στο πλαίσιο της Ελληνικής Δημόσιας Προσφοράς θα ικανοποιηθούν πλήρως, στο βαθμό που υπάρχουν διαθέσιμες Νέες Μετοχές προς διάθεση σε αυτή την κατηγορία επενδυτών προκειμένου να καλυφθούν οι Υπερβάλλουσες Εγγραφές, διαφορετικά οι Υπερβάλλουσες Εγγραφές θα καλυφθούν αναλογικά, ως κατωτέρω</w:t>
      </w:r>
      <w:r w:rsidRPr="00567E92">
        <w:rPr>
          <w:lang w:eastAsia="el-GR" w:bidi="el-GR"/>
        </w:rPr>
        <w:t>,</w:t>
      </w:r>
    </w:p>
    <w:p w14:paraId="14886F7E" w14:textId="27F9702A" w:rsidR="00EE3AB1" w:rsidRPr="00567E92" w:rsidRDefault="00EE3AB1" w:rsidP="00EE3AB1">
      <w:pPr>
        <w:pStyle w:val="ListParagraph"/>
        <w:numPr>
          <w:ilvl w:val="0"/>
          <w:numId w:val="5"/>
        </w:numPr>
        <w:autoSpaceDE/>
        <w:autoSpaceDN/>
        <w:spacing w:before="0" w:line="271" w:lineRule="auto"/>
        <w:ind w:left="0" w:hanging="284"/>
        <w:contextualSpacing/>
        <w:jc w:val="both"/>
        <w:rPr>
          <w:lang w:eastAsia="el-GR" w:bidi="el-GR"/>
        </w:rPr>
      </w:pPr>
      <w:r w:rsidRPr="00567E92">
        <w:rPr>
          <w:lang w:eastAsia="el-GR" w:bidi="el-GR"/>
        </w:rPr>
        <w:t xml:space="preserve">σε </w:t>
      </w:r>
      <w:r w:rsidR="00B974BA" w:rsidRPr="00B974BA">
        <w:rPr>
          <w:lang w:eastAsia="el-GR" w:bidi="el-GR"/>
        </w:rPr>
        <w:t>περίπτωση που οι Νέες Μετοχές που θα διατεθούν τελικώς στην κατηγορία των Ιδιωτών Επενδυτών (όπως θα καθοριστεί με την ολοκλήρωση της Συνδυασμένης Προσφοράς) υπερκαλυφθούν (δηλαδή οι εγγραφές που υποβάλλονται μέσω της Ελληνικής Δημόσιας Προσφοράς από Ιδιώτες Επενδυτές υπερβαίνουν τον αριθμό των Νέων Μετοχών που έχουν τελικώς κατανεμηθεί από την Εταιρεία στην κατηγορία των Ιδιωτών Επενδυτών στο πλαίσιο της Ελληνικής Δημόσιας Προσφοράς), οι Υπερβάλλουσες Εγγραφές που έχουν εγκύρως υποβληθεί από Ιδιώτες Επενδυτές στο πλαίσιο της Ελληνικής Δημόσιας Προσφοράς θα κατανεμηθούν αναλογικά (</w:t>
      </w:r>
      <w:proofErr w:type="spellStart"/>
      <w:r w:rsidR="00B974BA" w:rsidRPr="00B974BA">
        <w:rPr>
          <w:lang w:eastAsia="el-GR" w:bidi="el-GR"/>
        </w:rPr>
        <w:t>pro</w:t>
      </w:r>
      <w:proofErr w:type="spellEnd"/>
      <w:r w:rsidR="00B974BA" w:rsidRPr="00B974BA">
        <w:rPr>
          <w:lang w:eastAsia="el-GR" w:bidi="el-GR"/>
        </w:rPr>
        <w:t xml:space="preserve"> </w:t>
      </w:r>
      <w:proofErr w:type="spellStart"/>
      <w:r w:rsidR="00B974BA" w:rsidRPr="00B974BA">
        <w:rPr>
          <w:lang w:eastAsia="el-GR" w:bidi="el-GR"/>
        </w:rPr>
        <w:t>rata</w:t>
      </w:r>
      <w:proofErr w:type="spellEnd"/>
      <w:r w:rsidR="00B974BA" w:rsidRPr="00B974BA">
        <w:rPr>
          <w:lang w:eastAsia="el-GR" w:bidi="el-GR"/>
        </w:rPr>
        <w:t>), στον βαθμό που υπάρχουν διαθέσιμες Νέες Μετοχές προς κατανομή στην εν λόγω κατηγορία επενδυτών</w:t>
      </w:r>
      <w:r w:rsidRPr="00567E92">
        <w:rPr>
          <w:lang w:eastAsia="el-GR" w:bidi="el-GR"/>
        </w:rPr>
        <w:t xml:space="preserve">. </w:t>
      </w:r>
    </w:p>
    <w:p w14:paraId="5129F356" w14:textId="3649C28F" w:rsidR="00EE3AB1" w:rsidRPr="00E5045E" w:rsidRDefault="00B974BA" w:rsidP="00EE3AB1">
      <w:pPr>
        <w:spacing w:line="271" w:lineRule="auto"/>
        <w:jc w:val="both"/>
        <w:rPr>
          <w:sz w:val="19"/>
          <w:szCs w:val="19"/>
          <w:lang w:eastAsia="el-GR" w:bidi="el-GR"/>
        </w:rPr>
      </w:pPr>
      <w:r w:rsidRPr="00B974BA">
        <w:rPr>
          <w:lang w:eastAsia="el-GR" w:bidi="el-GR"/>
        </w:rPr>
        <w:t>Εάν με εφαρμογή της αναλογικής κατανομής (</w:t>
      </w:r>
      <w:proofErr w:type="spellStart"/>
      <w:r w:rsidRPr="00B974BA">
        <w:rPr>
          <w:lang w:eastAsia="el-GR" w:bidi="el-GR"/>
        </w:rPr>
        <w:t>pro</w:t>
      </w:r>
      <w:proofErr w:type="spellEnd"/>
      <w:r w:rsidRPr="00B974BA">
        <w:rPr>
          <w:lang w:eastAsia="el-GR" w:bidi="el-GR"/>
        </w:rPr>
        <w:t xml:space="preserve"> </w:t>
      </w:r>
      <w:proofErr w:type="spellStart"/>
      <w:r w:rsidRPr="00B974BA">
        <w:rPr>
          <w:lang w:eastAsia="el-GR" w:bidi="el-GR"/>
        </w:rPr>
        <w:t>rata</w:t>
      </w:r>
      <w:proofErr w:type="spellEnd"/>
      <w:r w:rsidRPr="00B974BA">
        <w:rPr>
          <w:lang w:eastAsia="el-GR" w:bidi="el-GR"/>
        </w:rPr>
        <w:t>) κατά τα προαναφερθέντα, οι Νέες Μετοχές που θα κατανεμηθούν σε επενδυτή προσδιορίζονται σε πλήθος ως αριθμός με δεκαδικά ψηφία, ο αριθμός αυτός στρογγυλοποιείται προς τα πάνω στον εγγύτερο ακέραιο αριθμό. Εφόσον, λόγω στρογγυλοποίησης του πλήθους των προς κατανομή Νέων Μετοχών που πρόκειται να κατανεμηθούν στην κατηγορία των Ιδιωτών Επενδυτών, σύμφωνα με τα ανωτέρω, προκύψουν αδιάθετες Νέες Μετοχές, θα κατανεμηθεί από μία (1) επιπλέον Νέα Μετοχή σε επενδυτές βάσει του ύψους του αδιάθετου υπολοίπου ανά επενδυτή κατά φθίνουσα σειρά. Σε περίπτωση που δύο (2) ή περισσότεροι επενδυτές έχουν το ίδιο ύψος αδιάθετου υπολοίπου θα δοθεί προτεραιότητα σε αυτόν/αυτούς που υπέβαλλαν νωρίτερα την αίτηση εγγραφής</w:t>
      </w:r>
      <w:r w:rsidR="00EE3AB1" w:rsidRPr="00567E92">
        <w:rPr>
          <w:lang w:eastAsia="el-GR" w:bidi="el-GR"/>
        </w:rPr>
        <w:t>.</w:t>
      </w:r>
    </w:p>
    <w:p w14:paraId="05960629" w14:textId="77777777" w:rsidR="0055707E" w:rsidRPr="0055707E" w:rsidRDefault="0055707E" w:rsidP="0055707E">
      <w:pPr>
        <w:pStyle w:val="BodyText"/>
        <w:spacing w:before="121"/>
        <w:ind w:left="0" w:right="120"/>
        <w:rPr>
          <w:i/>
          <w:iCs/>
        </w:rPr>
      </w:pPr>
      <w:r w:rsidRPr="0055707E">
        <w:rPr>
          <w:i/>
          <w:iCs/>
        </w:rPr>
        <w:t>Υπερβάλλουσες Εγγραφές από Ειδικούς Επενδυτές</w:t>
      </w:r>
    </w:p>
    <w:p w14:paraId="67770804" w14:textId="77777777" w:rsidR="0055707E" w:rsidRDefault="0055707E" w:rsidP="0055707E">
      <w:pPr>
        <w:pStyle w:val="BodyText"/>
        <w:spacing w:before="121"/>
        <w:ind w:left="0" w:right="120"/>
      </w:pPr>
      <w:r>
        <w:t>Οι Υπερβάλλουσες Εγγραφές που υποβάλλονται από Ειδικούς Επενδυτές θα ικανοποιούνται κατά τη διακριτική ευχέρεια της Εταιρείας.</w:t>
      </w:r>
    </w:p>
    <w:p w14:paraId="5C7B7956" w14:textId="1F31806A" w:rsidR="0055707E" w:rsidRDefault="00B974BA" w:rsidP="0055707E">
      <w:pPr>
        <w:pStyle w:val="BodyText"/>
        <w:spacing w:before="121"/>
        <w:ind w:left="0" w:right="120"/>
      </w:pPr>
      <w:r w:rsidRPr="00B974BA">
        <w:lastRenderedPageBreak/>
        <w:t xml:space="preserve">Ο αριθμός των Νέων Μετοχών που θα κατανεμηθεί σε κάθε επενδυτή θα αντιστοιχεί σε ακέραιο αριθμό μονάδων διαπραγμάτευσης. Η παράδοση των Νέων Μετοχών συντελείται με την οριστική καταχώρησή τους στους Λογαριασμούς Αξιογράφων των δικαιούχων, η οποία θα γνωστοποιηθεί με ανακοίνωση της Εταιρείας στο Ημερήσια Δελτίο Τιμών («Η.Δ.Τ.») του Χ.Α. και τον </w:t>
      </w:r>
      <w:proofErr w:type="spellStart"/>
      <w:r w:rsidRPr="00B974BA">
        <w:t>ιστότοπο</w:t>
      </w:r>
      <w:proofErr w:type="spellEnd"/>
      <w:r w:rsidRPr="00B974BA">
        <w:t xml:space="preserve"> της Εταιρείας, μία (1) τουλάχιστον εργάσιμη ημέρα πριν την έναρξη διαπραγμάτευσης των Νέων Μετοχών στο Χ.Α.</w:t>
      </w:r>
    </w:p>
    <w:p w14:paraId="07EACA10" w14:textId="08E2BE8C" w:rsidR="0055707E" w:rsidRDefault="00B974BA" w:rsidP="0055707E">
      <w:pPr>
        <w:pStyle w:val="BodyText"/>
        <w:spacing w:before="121"/>
        <w:ind w:left="0" w:right="120"/>
      </w:pPr>
      <w:r w:rsidRPr="00B974BA">
        <w:t xml:space="preserve">Μετά την οριστικοποίηση του αριθμού των Νέων Μετοχών που δικαιούται να αποκτήσει κάθε επενδυτής, θα αποδίδεται στον δικαιούχο το υπερβάλλον δεσμευθέν ποσό και θα αποδεσμεύονται τα αντίστοιχα ποσά καταθέσεων με ταυτόχρονη χρέωση του λογαριασμού καταθέσεων για το ισόποσο της αξίας των Νέων Μετοχών που κατανεμήθηκαν στον εκάστοτε επενδυτή. Τα δεσμευθέντα ποσά καταθέσεων υπόκεινται στους όρους της αρχικής κατάθεσης (προθεσμία, επιτόκιο κ.λπ.) μέχρι την αποδέσμευσή τους. Οι επενδυτές δεν </w:t>
      </w:r>
      <w:proofErr w:type="spellStart"/>
      <w:r w:rsidRPr="00B974BA">
        <w:t>βαρύνονται</w:t>
      </w:r>
      <w:proofErr w:type="spellEnd"/>
      <w:r w:rsidRPr="00B974BA">
        <w:t xml:space="preserve"> με κόστη και φόρους για την απόκτηση των Νέων Μετοχών και την καταχώρησή τους στους Λογαριασμούς Αξιογράφων.</w:t>
      </w:r>
    </w:p>
    <w:p w14:paraId="644948CE" w14:textId="3180D2C6" w:rsidR="00B974BA" w:rsidRDefault="00B974BA" w:rsidP="00B974BA">
      <w:pPr>
        <w:pStyle w:val="BodyText"/>
        <w:spacing w:before="121"/>
        <w:ind w:left="0" w:right="120"/>
      </w:pPr>
      <w:r>
        <w:t xml:space="preserve">Υφιστάμενοι Μέτοχοι που δεν εγγράφονται για Νέες Μετοχές στην Ελληνική Δημόσια Προσφορά ή των οποίων οι αιτήσεις εγγραφής αναφέρονται σε αριθμό Νέων Μετοχών, ο οποίος δεν επαρκεί για να διατηρηθεί το ποσοστό συμμετοχής τους στο μετοχικό κεφάλαιο της Εταιρείας κατά την Ημερομηνία Καταγραφής, θα υποστούν μερική μείωση της συμμετοχής τους στο μετοχικό κεφάλαιο της Εταιρείας (με την παραδοχή της πλήρους κάλυψης των Νέων Μετοχών), συμπεριλαμβανομένων των δικαιωμάτων ψήφου και απόληψης </w:t>
      </w:r>
      <w:r w:rsidR="00A118B0">
        <w:t>μερίσματος</w:t>
      </w:r>
      <w:r>
        <w:t xml:space="preserve">. </w:t>
      </w:r>
    </w:p>
    <w:p w14:paraId="5DFC0D3E" w14:textId="6A7AE10C" w:rsidR="004D6324" w:rsidRDefault="00B974BA" w:rsidP="00B974BA">
      <w:pPr>
        <w:pStyle w:val="BodyText"/>
        <w:spacing w:before="121"/>
        <w:ind w:left="0" w:right="120"/>
      </w:pPr>
      <w:r>
        <w:t>Σημειώνεται ότι το Δικαίωμα Προνομιακής Κατανομής δεν αποτελεί δικαίωμα προτίμησης υπό την έννοια του άρθρου 26 του Ν. 4548/2018, και δεν υπόκειται σε διαπραγμάτευση ή μεταβίβαση, με οποιονδήποτε τρόπο</w:t>
      </w:r>
      <w:r w:rsidR="0055707E">
        <w:t>.</w:t>
      </w:r>
    </w:p>
    <w:p w14:paraId="05B1CE29" w14:textId="77777777" w:rsidR="0055707E" w:rsidRPr="00724ED3" w:rsidRDefault="0055707E" w:rsidP="0055707E">
      <w:pPr>
        <w:pStyle w:val="Heading1"/>
        <w:spacing w:before="122"/>
        <w:ind w:left="0"/>
        <w:jc w:val="left"/>
      </w:pPr>
      <w:r w:rsidRPr="005B3504">
        <w:t>ΔΙΑΘΕΣΗ ΕΓΓΡΑΦΟΥ</w:t>
      </w:r>
    </w:p>
    <w:p w14:paraId="113EBC63" w14:textId="3C77BBEB" w:rsidR="0055707E" w:rsidRDefault="0055707E" w:rsidP="0055707E">
      <w:pPr>
        <w:pStyle w:val="BodyText"/>
        <w:spacing w:before="121"/>
        <w:ind w:left="0" w:right="114"/>
      </w:pPr>
      <w:r>
        <w:t xml:space="preserve">Πληροφορίες για την Εταιρεία, τις Νέες Μετοχές, την Τιμή Διάθεσης, τη διαδικασία συμμετοχής στην Ελληνική Δημόσια Προσφορά καθώς και τον τρόπο διάθεσης των Νέων Μετοχών περιλαμβάνονται στο έγγραφο που συντάχθηκε σύμφωνα με το </w:t>
      </w:r>
      <w:r w:rsidR="00FE3C47">
        <w:t>Π</w:t>
      </w:r>
      <w:r>
        <w:t>αράρτημα IX (</w:t>
      </w:r>
      <w:r w:rsidR="008F4ECF">
        <w:t xml:space="preserve">το </w:t>
      </w:r>
      <w:r>
        <w:t>«</w:t>
      </w:r>
      <w:r w:rsidRPr="00567E92">
        <w:rPr>
          <w:b/>
          <w:bCs/>
        </w:rPr>
        <w:t>Έγγραφο</w:t>
      </w:r>
      <w:r>
        <w:t>») του κανονισμού (ΕΕ) 2017/1129 του Ευρωπαϊκού Κοινοβουλίου και του Συμβουλίου, της 14ης Ιουνίου 2017, όπως ισχύει («</w:t>
      </w:r>
      <w:r w:rsidRPr="00B974BA">
        <w:rPr>
          <w:b/>
          <w:bCs/>
        </w:rPr>
        <w:t>Κανονισμός</w:t>
      </w:r>
      <w:r>
        <w:t>»), για τον σκοπό του άρθρου 1.4.δβ) και του άρθρου 1.5.βα) του Κανονισμού σχετικά με την Ελληνική Δημόσια Προσφορά και την Εισαγωγή.</w:t>
      </w:r>
    </w:p>
    <w:p w14:paraId="2ECDCC00" w14:textId="54073D32" w:rsidR="0055707E" w:rsidRDefault="0055707E" w:rsidP="0055707E">
      <w:pPr>
        <w:pStyle w:val="BodyText"/>
        <w:spacing w:before="121"/>
        <w:ind w:left="0" w:right="114"/>
      </w:pPr>
      <w:r>
        <w:t xml:space="preserve">Σημειώνεται ότι το Έγγραφο δεν αποτελεί ενημερωτικό δελτίο κατά την έννοια του Κανονισμού και δεν έχει υποβληθεί σε έλεγχο και έγκριση από την Επιτροπή Κεφαλαιαγοράς. Οι επενδυτές θα πρέπει να προβούν σε δική τους εκτίμηση ως προς την καταλληλότητα της επένδυσης στις Νέες Μετοχές. Συνιστάται στους επενδυτές των μετοχών της Εταιρείας να συμβουλεύονται όλες τις οικονομικές </w:t>
      </w:r>
      <w:r w:rsidR="001E626A">
        <w:t xml:space="preserve">και λοιπές ρυθμιζόμενες </w:t>
      </w:r>
      <w:r>
        <w:t>πληροφορίες</w:t>
      </w:r>
      <w:r w:rsidR="00F52559">
        <w:t>,</w:t>
      </w:r>
      <w:r w:rsidR="001E626A">
        <w:t xml:space="preserve"> καθώς</w:t>
      </w:r>
      <w:r>
        <w:t xml:space="preserve"> και τις ανακοινώσεις που δημοσιεύει η Εταιρεία, οι οποίες είναι διαθέσιμες στον εταιρικό της </w:t>
      </w:r>
      <w:proofErr w:type="spellStart"/>
      <w:r>
        <w:t>ιστότοπο</w:t>
      </w:r>
      <w:proofErr w:type="spellEnd"/>
      <w:r>
        <w:t xml:space="preserve"> (</w:t>
      </w:r>
      <w:hyperlink r:id="rId19" w:history="1">
        <w:r w:rsidR="00496D87" w:rsidRPr="00DC2B9C">
          <w:rPr>
            <w:rStyle w:val="Hyperlink"/>
          </w:rPr>
          <w:t>https://www.crediabank.com/</w:t>
        </w:r>
      </w:hyperlink>
      <w:r>
        <w:t xml:space="preserve">) και τον </w:t>
      </w:r>
      <w:proofErr w:type="spellStart"/>
      <w:r>
        <w:t>ιστότοπο</w:t>
      </w:r>
      <w:proofErr w:type="spellEnd"/>
      <w:r>
        <w:t xml:space="preserve"> του Χ.Α. (</w:t>
      </w:r>
      <w:hyperlink r:id="rId20" w:history="1">
        <w:r w:rsidR="00496D87" w:rsidRPr="00DC2B9C">
          <w:rPr>
            <w:rStyle w:val="Hyperlink"/>
          </w:rPr>
          <w:t>https://www.athexgroup.gr/el</w:t>
        </w:r>
      </w:hyperlink>
      <w:r>
        <w:t>).</w:t>
      </w:r>
    </w:p>
    <w:p w14:paraId="2817F205" w14:textId="28D23FBC" w:rsidR="0055707E" w:rsidRDefault="0055707E" w:rsidP="0055707E">
      <w:pPr>
        <w:pStyle w:val="BodyText"/>
        <w:spacing w:before="121"/>
        <w:ind w:left="0" w:right="114"/>
      </w:pPr>
      <w:r>
        <w:t>Το Έγγραφο μπορεί να αναζητηθεί σε ηλεκτρονική μορφή στους δικτυακούς τόπους της «ΕΛΛΗΝΙΚΑ ΧΡΗΜΑΤΙΣΤΗΡΙΑ - ΧΡΗΜΑΤΙΣΤΗΡΙΟ ΑΘΗΝΩΝ ΑΝΩΝΥΜΗ ΕΤΑΙΡΕΙΑ ΣΥΜΜΕΤΟΧΩΝ» (</w:t>
      </w:r>
      <w:hyperlink r:id="rId21" w:history="1">
        <w:r w:rsidR="00496D87" w:rsidRPr="00DC2B9C">
          <w:rPr>
            <w:rStyle w:val="Hyperlink"/>
          </w:rPr>
          <w:t>https://www.athexgroup.gr/el/market-data/informative-material</w:t>
        </w:r>
      </w:hyperlink>
      <w:r>
        <w:t>), της Εταιρείας (</w:t>
      </w:r>
      <w:hyperlink r:id="rId22" w:history="1">
        <w:r w:rsidR="00496D87" w:rsidRPr="00DC2B9C">
          <w:rPr>
            <w:rStyle w:val="Hyperlink"/>
          </w:rPr>
          <w:t>https://www.crediabank.com/omilos/enimerosi-ependuton/epiloges-gia-tin-enishusi-tis-parousias-stis-kefalaiagores/</w:t>
        </w:r>
      </w:hyperlink>
      <w:r>
        <w:t xml:space="preserve">), και των Συντονιστών </w:t>
      </w:r>
      <w:proofErr w:type="spellStart"/>
      <w:r>
        <w:t>Tοποθέτησης</w:t>
      </w:r>
      <w:proofErr w:type="spellEnd"/>
      <w:r>
        <w:t>, ήτοι της EUROXX ΧΡΗΜΑΤΙΣΤΗΡΙΑΚΗ Α.Ε.Π.Ε.Υ. (</w:t>
      </w:r>
      <w:hyperlink r:id="rId23" w:history="1">
        <w:r w:rsidR="00496D87" w:rsidRPr="00DC2B9C">
          <w:rPr>
            <w:rStyle w:val="Hyperlink"/>
          </w:rPr>
          <w:t>www.euroxx.gr/crediaBankAnnexIX.html</w:t>
        </w:r>
      </w:hyperlink>
      <w:r>
        <w:t>)</w:t>
      </w:r>
      <w:r w:rsidR="006E3515" w:rsidRPr="00567E92">
        <w:t xml:space="preserve">, </w:t>
      </w:r>
      <w:r>
        <w:t>της ΠΑΝΤΕΛΑΚΗΣ ΧΡΗΜΑΤΙΣΤΗΡΙΑΚΗ Α.Ε.Π.Ε.Υ. (</w:t>
      </w:r>
      <w:hyperlink r:id="rId24" w:history="1">
        <w:r w:rsidR="00496D87" w:rsidRPr="00DC2B9C">
          <w:rPr>
            <w:rStyle w:val="Hyperlink"/>
          </w:rPr>
          <w:t>https://www.pantelakis.gr/pantelakis/services/CrediaBankOffer</w:t>
        </w:r>
      </w:hyperlink>
      <w:r>
        <w:t>)</w:t>
      </w:r>
      <w:r w:rsidR="003B7B0E">
        <w:t>,</w:t>
      </w:r>
      <w:r w:rsidR="006E3515" w:rsidRPr="00567E92">
        <w:t xml:space="preserve"> </w:t>
      </w:r>
      <w:r w:rsidR="006E3515">
        <w:t xml:space="preserve">της </w:t>
      </w:r>
      <w:r w:rsidR="00821381">
        <w:t xml:space="preserve">Τράπεζα </w:t>
      </w:r>
      <w:proofErr w:type="spellStart"/>
      <w:r w:rsidR="00821381">
        <w:t>Optima</w:t>
      </w:r>
      <w:proofErr w:type="spellEnd"/>
      <w:r w:rsidR="00821381">
        <w:t xml:space="preserve"> </w:t>
      </w:r>
      <w:proofErr w:type="spellStart"/>
      <w:r w:rsidR="00821381">
        <w:t>bank</w:t>
      </w:r>
      <w:proofErr w:type="spellEnd"/>
      <w:r w:rsidR="00821381" w:rsidRPr="00567E92">
        <w:t xml:space="preserve"> </w:t>
      </w:r>
      <w:r w:rsidR="00821381">
        <w:rPr>
          <w:lang w:val="en-US"/>
        </w:rPr>
        <w:t>A</w:t>
      </w:r>
      <w:r w:rsidR="00821381" w:rsidRPr="00567E92">
        <w:t>.</w:t>
      </w:r>
      <w:r w:rsidR="00821381">
        <w:rPr>
          <w:lang w:val="en-US"/>
        </w:rPr>
        <w:t>E</w:t>
      </w:r>
      <w:r w:rsidR="00821381" w:rsidRPr="00645BC8">
        <w:t>.</w:t>
      </w:r>
      <w:r w:rsidR="00821381" w:rsidRPr="00567E92">
        <w:t xml:space="preserve"> </w:t>
      </w:r>
      <w:r w:rsidR="00FB7D05">
        <w:t>(</w:t>
      </w:r>
      <w:hyperlink r:id="rId25" w:history="1">
        <w:r w:rsidR="003B7B0E" w:rsidRPr="00897A57">
          <w:rPr>
            <w:rStyle w:val="Hyperlink"/>
          </w:rPr>
          <w:t>https://www.optimabank.gr/business/investment-banking/enimerotika-pliroforiaka-</w:t>
        </w:r>
        <w:r w:rsidR="003B7B0E" w:rsidRPr="00897A57">
          <w:rPr>
            <w:rStyle w:val="Hyperlink"/>
          </w:rPr>
          <w:lastRenderedPageBreak/>
          <w:t>deltia</w:t>
        </w:r>
      </w:hyperlink>
      <w:r w:rsidR="00FB7D05">
        <w:t>)</w:t>
      </w:r>
      <w:r w:rsidR="003B7B0E">
        <w:t xml:space="preserve"> και της </w:t>
      </w:r>
      <w:proofErr w:type="spellStart"/>
      <w:r w:rsidR="003B7B0E" w:rsidRPr="003B7B0E">
        <w:t>Ambrosia</w:t>
      </w:r>
      <w:proofErr w:type="spellEnd"/>
      <w:r w:rsidR="003B7B0E" w:rsidRPr="003B7B0E">
        <w:t xml:space="preserve"> Capital </w:t>
      </w:r>
      <w:proofErr w:type="spellStart"/>
      <w:r w:rsidR="003B7B0E" w:rsidRPr="003B7B0E">
        <w:t>Hellas</w:t>
      </w:r>
      <w:proofErr w:type="spellEnd"/>
      <w:r w:rsidR="003B7B0E" w:rsidRPr="003B7B0E">
        <w:t xml:space="preserve"> </w:t>
      </w:r>
      <w:r w:rsidR="003B7B0E">
        <w:t xml:space="preserve">Μονοπρόσωπη ΑΕΠΕΥ </w:t>
      </w:r>
      <w:r w:rsidR="00191D08" w:rsidRPr="001C067B">
        <w:rPr>
          <w:lang w:bidi="he-IL"/>
        </w:rPr>
        <w:t xml:space="preserve"> (</w:t>
      </w:r>
      <w:hyperlink r:id="rId26" w:history="1">
        <w:r w:rsidR="00496D87" w:rsidRPr="00DC2B9C">
          <w:rPr>
            <w:rStyle w:val="Hyperlink"/>
            <w:lang w:bidi="he-IL"/>
          </w:rPr>
          <w:t>https://ambrosiacapital.gr/credia/</w:t>
        </w:r>
      </w:hyperlink>
      <w:r w:rsidR="00191D08" w:rsidRPr="001C067B">
        <w:rPr>
          <w:lang w:bidi="he-IL"/>
        </w:rPr>
        <w:t>)</w:t>
      </w:r>
      <w:r>
        <w:t>.</w:t>
      </w:r>
    </w:p>
    <w:p w14:paraId="39AC7160" w14:textId="6FFF9071" w:rsidR="0055707E" w:rsidRPr="003B7B0E" w:rsidRDefault="0055707E" w:rsidP="0055707E">
      <w:pPr>
        <w:pStyle w:val="BodyText"/>
        <w:spacing w:before="121"/>
        <w:ind w:left="0" w:right="114"/>
      </w:pPr>
      <w:r>
        <w:t>Επίσης, κατά τη διάρκεια της περιόδου της Ελληνικής Δημόσιας Προσφοράς, αντίγραφο του Εγγράφου θα χορηγείται σε ηλεκτρονική μορφή σε οποιονδήποτε δυνητικό επενδυτή, ύστερα από σχετική αίτησή του και ατελώς, από την Εταιρεία, την EUROXX ΧΡΗΜΑΤΙΣΤΗΡΙΑΚΗ Α.Ε.Π.Ε.Υ.</w:t>
      </w:r>
      <w:r w:rsidR="006E3515" w:rsidRPr="00567E92">
        <w:t xml:space="preserve">, </w:t>
      </w:r>
      <w:r>
        <w:t>την ΠΑΝΤΕΛΑΚΗΣ ΧΡΗΜΑΤΙΣΤΗΡΙΑΚΗ Α.Ε.Π.Ε.Υ.</w:t>
      </w:r>
      <w:r w:rsidR="003B7B0E">
        <w:t>,</w:t>
      </w:r>
      <w:r w:rsidR="006E3515" w:rsidRPr="00567E92">
        <w:t xml:space="preserve"> </w:t>
      </w:r>
      <w:r w:rsidR="006E3515">
        <w:t xml:space="preserve">την </w:t>
      </w:r>
      <w:r w:rsidR="00821381">
        <w:t xml:space="preserve">Τράπεζα </w:t>
      </w:r>
      <w:proofErr w:type="spellStart"/>
      <w:r w:rsidR="00821381">
        <w:t>Optima</w:t>
      </w:r>
      <w:proofErr w:type="spellEnd"/>
      <w:r w:rsidR="00821381">
        <w:t xml:space="preserve"> </w:t>
      </w:r>
      <w:proofErr w:type="spellStart"/>
      <w:r w:rsidR="00821381">
        <w:t>bank</w:t>
      </w:r>
      <w:proofErr w:type="spellEnd"/>
      <w:r w:rsidR="00821381" w:rsidRPr="00E15408">
        <w:t xml:space="preserve"> </w:t>
      </w:r>
      <w:r w:rsidR="00821381">
        <w:rPr>
          <w:lang w:val="en-US"/>
        </w:rPr>
        <w:t>A</w:t>
      </w:r>
      <w:r w:rsidR="00821381" w:rsidRPr="00E15408">
        <w:t>.</w:t>
      </w:r>
      <w:r w:rsidR="00821381">
        <w:rPr>
          <w:lang w:val="en-US"/>
        </w:rPr>
        <w:t>E</w:t>
      </w:r>
      <w:r w:rsidR="006E3515">
        <w:t>.</w:t>
      </w:r>
      <w:r w:rsidR="003B7B0E">
        <w:t xml:space="preserve"> και την </w:t>
      </w:r>
      <w:r w:rsidR="003B7B0E" w:rsidRPr="003B7B0E">
        <w:rPr>
          <w:lang w:val="en-US"/>
        </w:rPr>
        <w:t>Ambrosia</w:t>
      </w:r>
      <w:r w:rsidR="003B7B0E" w:rsidRPr="00BE35EC">
        <w:t xml:space="preserve"> </w:t>
      </w:r>
      <w:r w:rsidR="003B7B0E" w:rsidRPr="003B7B0E">
        <w:rPr>
          <w:lang w:val="en-US"/>
        </w:rPr>
        <w:t>Capital</w:t>
      </w:r>
      <w:r w:rsidR="003B7B0E" w:rsidRPr="00BE35EC">
        <w:t xml:space="preserve"> </w:t>
      </w:r>
      <w:r w:rsidR="003B7B0E" w:rsidRPr="003B7B0E">
        <w:rPr>
          <w:lang w:val="en-US"/>
        </w:rPr>
        <w:t>Hellas</w:t>
      </w:r>
      <w:r w:rsidR="003B7B0E" w:rsidRPr="00BE35EC">
        <w:t xml:space="preserve"> </w:t>
      </w:r>
      <w:r w:rsidR="003B7B0E">
        <w:t>Μονοπρόσωπη ΑΕΠΕΥ.</w:t>
      </w:r>
    </w:p>
    <w:p w14:paraId="26732782" w14:textId="390409DE" w:rsidR="007F16CE" w:rsidRDefault="0055707E" w:rsidP="0055707E">
      <w:pPr>
        <w:pStyle w:val="BodyText"/>
        <w:spacing w:before="121"/>
        <w:ind w:left="0" w:right="114"/>
      </w:pPr>
      <w:r w:rsidRPr="005B3504">
        <w:t xml:space="preserve">Η ημερομηνία διακανονισμού των Νέων Μετοχών, μετά την ολοκλήρωση της </w:t>
      </w:r>
      <w:r w:rsidR="00497925">
        <w:t xml:space="preserve">Συνδυασμένης </w:t>
      </w:r>
      <w:r w:rsidRPr="005B3504">
        <w:t xml:space="preserve">Προσφοράς, θα προσδιοριστεί από την Εταιρεία και </w:t>
      </w:r>
      <w:r w:rsidR="007540AF">
        <w:t>αναμένεται να</w:t>
      </w:r>
      <w:r w:rsidRPr="005B3504">
        <w:t xml:space="preserve"> είναι στις ή περί τις </w:t>
      </w:r>
      <w:r w:rsidR="00821381">
        <w:t>7</w:t>
      </w:r>
      <w:r w:rsidR="00821381" w:rsidRPr="005B3504">
        <w:t xml:space="preserve"> </w:t>
      </w:r>
      <w:r w:rsidRPr="005B3504">
        <w:t>Απριλίου 2026.</w:t>
      </w:r>
    </w:p>
    <w:p w14:paraId="061E8FE9" w14:textId="77777777" w:rsidR="002E5360" w:rsidRDefault="00ED3EAB" w:rsidP="0055707E">
      <w:pPr>
        <w:pStyle w:val="BodyText"/>
        <w:spacing w:before="121"/>
        <w:ind w:left="0" w:right="114"/>
        <w:rPr>
          <w:b/>
          <w:bCs/>
        </w:rPr>
      </w:pPr>
      <w:r w:rsidRPr="00567E92">
        <w:rPr>
          <w:b/>
          <w:bCs/>
        </w:rPr>
        <w:t>ΧΡΟΝΟΔΙΑΓΡΑΜΜΑ</w:t>
      </w:r>
    </w:p>
    <w:p w14:paraId="222D6E51" w14:textId="77777777" w:rsidR="002E5360" w:rsidRPr="00D41C25" w:rsidRDefault="002E5360" w:rsidP="00567E92">
      <w:pPr>
        <w:pStyle w:val="BodyText"/>
        <w:spacing w:before="158" w:after="120" w:line="257" w:lineRule="auto"/>
        <w:ind w:left="0" w:right="45"/>
        <w:rPr>
          <w:rFonts w:asciiTheme="minorHAnsi" w:hAnsiTheme="minorHAnsi" w:cstheme="minorHAnsi"/>
        </w:rPr>
      </w:pPr>
      <w:r w:rsidRPr="00322BF6">
        <w:rPr>
          <w:rFonts w:asciiTheme="minorHAnsi" w:hAnsiTheme="minorHAnsi" w:cstheme="minorHAnsi"/>
        </w:rPr>
        <w:t>Κατωτέρω, παρατίθεται το αναμενόμενο χρονοδιάγραμμα της Ελληνικής Δημόσιας Προσφοράς</w:t>
      </w:r>
      <w:r>
        <w:rPr>
          <w:rFonts w:asciiTheme="minorHAnsi" w:hAnsiTheme="minorHAnsi" w:cstheme="minorHAnsi"/>
        </w:rPr>
        <w:t xml:space="preserve"> και της Εισαγωγής</w:t>
      </w:r>
      <w:r w:rsidRPr="00322BF6">
        <w:rPr>
          <w:rFonts w:asciiTheme="minorHAnsi" w:hAnsiTheme="minorHAnsi" w:cstheme="minorHAnsi"/>
        </w:rPr>
        <w:t>:</w:t>
      </w:r>
    </w:p>
    <w:tbl>
      <w:tblPr>
        <w:tblStyle w:val="TableGrid"/>
        <w:tblW w:w="8505" w:type="dxa"/>
        <w:tblInd w:w="-5" w:type="dxa"/>
        <w:tblLayout w:type="fixed"/>
        <w:tblLook w:val="04A0" w:firstRow="1" w:lastRow="0" w:firstColumn="1" w:lastColumn="0" w:noHBand="0" w:noVBand="1"/>
      </w:tblPr>
      <w:tblGrid>
        <w:gridCol w:w="1814"/>
        <w:gridCol w:w="6691"/>
      </w:tblGrid>
      <w:tr w:rsidR="002E5360" w:rsidRPr="00FD4811" w14:paraId="0B6A61F8" w14:textId="77777777" w:rsidTr="00645BC8">
        <w:trPr>
          <w:trHeight w:val="213"/>
        </w:trPr>
        <w:tc>
          <w:tcPr>
            <w:tcW w:w="1814" w:type="dxa"/>
            <w:tcBorders>
              <w:top w:val="single" w:sz="4" w:space="0" w:color="auto"/>
              <w:left w:val="single" w:sz="4" w:space="0" w:color="auto"/>
              <w:bottom w:val="single" w:sz="4" w:space="0" w:color="auto"/>
              <w:right w:val="single" w:sz="4" w:space="0" w:color="auto"/>
            </w:tcBorders>
            <w:hideMark/>
          </w:tcPr>
          <w:p w14:paraId="43EDCF26" w14:textId="77777777" w:rsidR="002E5360" w:rsidRPr="00FD4811" w:rsidRDefault="002E5360">
            <w:pPr>
              <w:ind w:right="2"/>
              <w:rPr>
                <w:rFonts w:asciiTheme="minorHAnsi" w:hAnsiTheme="minorHAnsi" w:cstheme="minorHAnsi"/>
                <w:b/>
                <w:sz w:val="20"/>
                <w:szCs w:val="20"/>
              </w:rPr>
            </w:pPr>
            <w:r w:rsidRPr="00FD4811">
              <w:rPr>
                <w:rFonts w:asciiTheme="minorHAnsi" w:hAnsiTheme="minorHAnsi" w:cstheme="minorHAnsi"/>
                <w:b/>
                <w:sz w:val="20"/>
                <w:szCs w:val="20"/>
              </w:rPr>
              <w:t>Ημερομηνία</w:t>
            </w:r>
          </w:p>
        </w:tc>
        <w:tc>
          <w:tcPr>
            <w:tcW w:w="6691" w:type="dxa"/>
            <w:tcBorders>
              <w:top w:val="single" w:sz="4" w:space="0" w:color="auto"/>
              <w:left w:val="single" w:sz="4" w:space="0" w:color="auto"/>
              <w:bottom w:val="single" w:sz="4" w:space="0" w:color="auto"/>
              <w:right w:val="single" w:sz="4" w:space="0" w:color="auto"/>
            </w:tcBorders>
            <w:hideMark/>
          </w:tcPr>
          <w:p w14:paraId="1530C7B7" w14:textId="77777777" w:rsidR="002E5360" w:rsidRPr="00FD4811" w:rsidRDefault="002E5360">
            <w:pPr>
              <w:ind w:right="2"/>
              <w:rPr>
                <w:rFonts w:asciiTheme="minorHAnsi" w:hAnsiTheme="minorHAnsi" w:cstheme="minorHAnsi"/>
                <w:b/>
                <w:sz w:val="20"/>
                <w:szCs w:val="20"/>
              </w:rPr>
            </w:pPr>
            <w:r w:rsidRPr="00FD4811">
              <w:rPr>
                <w:rFonts w:asciiTheme="minorHAnsi" w:hAnsiTheme="minorHAnsi" w:cstheme="minorHAnsi"/>
                <w:b/>
                <w:sz w:val="20"/>
                <w:szCs w:val="20"/>
              </w:rPr>
              <w:t>Γεγονός</w:t>
            </w:r>
          </w:p>
        </w:tc>
      </w:tr>
      <w:tr w:rsidR="00821381" w:rsidRPr="00FD4811" w14:paraId="4AFA220E" w14:textId="77777777" w:rsidTr="00645BC8">
        <w:trPr>
          <w:trHeight w:val="442"/>
        </w:trPr>
        <w:tc>
          <w:tcPr>
            <w:tcW w:w="1814" w:type="dxa"/>
            <w:tcBorders>
              <w:top w:val="single" w:sz="4" w:space="0" w:color="auto"/>
              <w:left w:val="single" w:sz="4" w:space="0" w:color="auto"/>
              <w:bottom w:val="single" w:sz="4" w:space="0" w:color="auto"/>
              <w:right w:val="single" w:sz="4" w:space="0" w:color="auto"/>
            </w:tcBorders>
          </w:tcPr>
          <w:p w14:paraId="0B3D1A33" w14:textId="32A8D410" w:rsidR="00821381" w:rsidRPr="00645BC8" w:rsidRDefault="00821381" w:rsidP="00821381">
            <w:pPr>
              <w:ind w:right="2"/>
              <w:rPr>
                <w:rFonts w:asciiTheme="minorHAnsi" w:hAnsiTheme="minorHAnsi" w:cstheme="minorHAnsi"/>
                <w:sz w:val="20"/>
                <w:szCs w:val="20"/>
              </w:rPr>
            </w:pPr>
            <w:r w:rsidRPr="00645BC8">
              <w:rPr>
                <w:rFonts w:asciiTheme="minorHAnsi" w:hAnsiTheme="minorHAnsi" w:cstheme="minorHAnsi"/>
                <w:color w:val="000000"/>
                <w:sz w:val="20"/>
                <w:szCs w:val="20"/>
              </w:rPr>
              <w:t>30.03.2026</w:t>
            </w:r>
          </w:p>
        </w:tc>
        <w:tc>
          <w:tcPr>
            <w:tcW w:w="6691" w:type="dxa"/>
            <w:tcBorders>
              <w:top w:val="single" w:sz="4" w:space="0" w:color="auto"/>
              <w:left w:val="single" w:sz="4" w:space="0" w:color="auto"/>
              <w:bottom w:val="single" w:sz="4" w:space="0" w:color="auto"/>
              <w:right w:val="single" w:sz="4" w:space="0" w:color="auto"/>
            </w:tcBorders>
          </w:tcPr>
          <w:p w14:paraId="4222C55C" w14:textId="7E95E22E" w:rsidR="00821381" w:rsidRPr="00645BC8" w:rsidRDefault="00821381" w:rsidP="00821381">
            <w:pPr>
              <w:ind w:left="-15" w:right="2"/>
              <w:jc w:val="both"/>
              <w:rPr>
                <w:rFonts w:asciiTheme="minorHAnsi" w:hAnsiTheme="minorHAnsi" w:cstheme="minorHAnsi"/>
                <w:sz w:val="20"/>
                <w:szCs w:val="20"/>
              </w:rPr>
            </w:pPr>
            <w:r w:rsidRPr="00645BC8">
              <w:rPr>
                <w:rFonts w:asciiTheme="minorHAnsi" w:hAnsiTheme="minorHAnsi" w:cstheme="minorHAnsi"/>
                <w:color w:val="000000"/>
                <w:sz w:val="20"/>
                <w:szCs w:val="20"/>
              </w:rPr>
              <w:t>Υποβολή του Εγγράφου στην Επιτροπή Κεφαλαιαγοράς</w:t>
            </w:r>
          </w:p>
        </w:tc>
      </w:tr>
      <w:tr w:rsidR="00821381" w:rsidRPr="00FD4811" w14:paraId="5BAD77C9" w14:textId="77777777" w:rsidTr="00645BC8">
        <w:trPr>
          <w:trHeight w:val="442"/>
        </w:trPr>
        <w:tc>
          <w:tcPr>
            <w:tcW w:w="1814" w:type="dxa"/>
            <w:tcBorders>
              <w:top w:val="single" w:sz="4" w:space="0" w:color="auto"/>
              <w:left w:val="single" w:sz="4" w:space="0" w:color="auto"/>
              <w:bottom w:val="single" w:sz="4" w:space="0" w:color="auto"/>
              <w:right w:val="single" w:sz="4" w:space="0" w:color="auto"/>
            </w:tcBorders>
          </w:tcPr>
          <w:p w14:paraId="78F93F6F" w14:textId="6A37270F" w:rsidR="00821381" w:rsidRPr="00645BC8" w:rsidRDefault="00821381" w:rsidP="00821381">
            <w:pPr>
              <w:ind w:right="2"/>
              <w:rPr>
                <w:rFonts w:asciiTheme="minorHAnsi" w:hAnsiTheme="minorHAnsi" w:cstheme="minorHAnsi"/>
                <w:sz w:val="20"/>
                <w:szCs w:val="20"/>
              </w:rPr>
            </w:pPr>
            <w:r w:rsidRPr="00645BC8">
              <w:rPr>
                <w:rFonts w:asciiTheme="minorHAnsi" w:hAnsiTheme="minorHAnsi" w:cstheme="minorHAnsi"/>
                <w:color w:val="000000"/>
                <w:sz w:val="20"/>
                <w:szCs w:val="20"/>
              </w:rPr>
              <w:t>30.03.2026</w:t>
            </w:r>
          </w:p>
        </w:tc>
        <w:tc>
          <w:tcPr>
            <w:tcW w:w="6691" w:type="dxa"/>
            <w:tcBorders>
              <w:top w:val="single" w:sz="4" w:space="0" w:color="auto"/>
              <w:left w:val="single" w:sz="4" w:space="0" w:color="auto"/>
              <w:bottom w:val="single" w:sz="4" w:space="0" w:color="auto"/>
              <w:right w:val="single" w:sz="4" w:space="0" w:color="auto"/>
            </w:tcBorders>
          </w:tcPr>
          <w:p w14:paraId="0D03890D" w14:textId="19782EFD" w:rsidR="00821381" w:rsidRPr="00645BC8" w:rsidRDefault="00821381" w:rsidP="00821381">
            <w:pPr>
              <w:ind w:left="-15" w:right="2"/>
              <w:jc w:val="both"/>
              <w:rPr>
                <w:rFonts w:asciiTheme="minorHAnsi" w:hAnsiTheme="minorHAnsi" w:cstheme="minorHAnsi"/>
                <w:sz w:val="20"/>
                <w:szCs w:val="20"/>
              </w:rPr>
            </w:pPr>
            <w:r w:rsidRPr="00645BC8">
              <w:rPr>
                <w:rFonts w:asciiTheme="minorHAnsi" w:hAnsiTheme="minorHAnsi" w:cstheme="minorHAnsi"/>
                <w:color w:val="000000"/>
                <w:sz w:val="20"/>
                <w:szCs w:val="20"/>
              </w:rPr>
              <w:t xml:space="preserve">Δημοσίευση του Εγγράφου στο Η.Δ.Τ. του Χ.Α., τον </w:t>
            </w:r>
            <w:proofErr w:type="spellStart"/>
            <w:r w:rsidRPr="00645BC8">
              <w:rPr>
                <w:rFonts w:asciiTheme="minorHAnsi" w:hAnsiTheme="minorHAnsi" w:cstheme="minorHAnsi"/>
                <w:color w:val="000000"/>
                <w:sz w:val="20"/>
                <w:szCs w:val="20"/>
              </w:rPr>
              <w:t>ιστότοπο</w:t>
            </w:r>
            <w:proofErr w:type="spellEnd"/>
            <w:r w:rsidRPr="00645BC8">
              <w:rPr>
                <w:rFonts w:asciiTheme="minorHAnsi" w:hAnsiTheme="minorHAnsi" w:cstheme="minorHAnsi"/>
                <w:color w:val="000000"/>
                <w:sz w:val="20"/>
                <w:szCs w:val="20"/>
              </w:rPr>
              <w:t xml:space="preserve"> της Εταιρείας και τους </w:t>
            </w:r>
            <w:proofErr w:type="spellStart"/>
            <w:r w:rsidRPr="00645BC8">
              <w:rPr>
                <w:rFonts w:asciiTheme="minorHAnsi" w:hAnsiTheme="minorHAnsi" w:cstheme="minorHAnsi"/>
                <w:color w:val="000000"/>
                <w:sz w:val="20"/>
                <w:szCs w:val="20"/>
              </w:rPr>
              <w:t>ιστότοπους</w:t>
            </w:r>
            <w:proofErr w:type="spellEnd"/>
            <w:r w:rsidRPr="00645BC8">
              <w:rPr>
                <w:rFonts w:asciiTheme="minorHAnsi" w:hAnsiTheme="minorHAnsi" w:cstheme="minorHAnsi"/>
                <w:color w:val="000000"/>
                <w:sz w:val="20"/>
                <w:szCs w:val="20"/>
              </w:rPr>
              <w:t xml:space="preserve"> των Συντονιστών Τοποθέτησης </w:t>
            </w:r>
          </w:p>
        </w:tc>
      </w:tr>
      <w:tr w:rsidR="00821381" w:rsidRPr="00FD4811" w14:paraId="056DCDAA" w14:textId="77777777" w:rsidTr="00645BC8">
        <w:trPr>
          <w:trHeight w:val="672"/>
        </w:trPr>
        <w:tc>
          <w:tcPr>
            <w:tcW w:w="1814" w:type="dxa"/>
            <w:tcBorders>
              <w:top w:val="single" w:sz="4" w:space="0" w:color="auto"/>
              <w:left w:val="single" w:sz="4" w:space="0" w:color="auto"/>
              <w:bottom w:val="single" w:sz="4" w:space="0" w:color="auto"/>
              <w:right w:val="single" w:sz="4" w:space="0" w:color="auto"/>
            </w:tcBorders>
          </w:tcPr>
          <w:p w14:paraId="28D93F79" w14:textId="74E9F3B7" w:rsidR="00821381" w:rsidRPr="00645BC8" w:rsidRDefault="00821381" w:rsidP="00821381">
            <w:pPr>
              <w:ind w:right="2"/>
              <w:rPr>
                <w:rFonts w:asciiTheme="minorHAnsi" w:hAnsiTheme="minorHAnsi" w:cstheme="minorHAnsi"/>
                <w:sz w:val="20"/>
                <w:szCs w:val="20"/>
              </w:rPr>
            </w:pPr>
            <w:r w:rsidRPr="00645BC8">
              <w:rPr>
                <w:rFonts w:asciiTheme="minorHAnsi" w:hAnsiTheme="minorHAnsi" w:cstheme="minorHAnsi"/>
                <w:color w:val="000000"/>
                <w:sz w:val="20"/>
                <w:szCs w:val="20"/>
              </w:rPr>
              <w:t>30.03.2026</w:t>
            </w:r>
          </w:p>
        </w:tc>
        <w:tc>
          <w:tcPr>
            <w:tcW w:w="6691" w:type="dxa"/>
            <w:tcBorders>
              <w:top w:val="single" w:sz="4" w:space="0" w:color="auto"/>
              <w:left w:val="single" w:sz="4" w:space="0" w:color="auto"/>
              <w:bottom w:val="single" w:sz="4" w:space="0" w:color="auto"/>
              <w:right w:val="single" w:sz="4" w:space="0" w:color="auto"/>
            </w:tcBorders>
          </w:tcPr>
          <w:p w14:paraId="3164DC8D" w14:textId="412DF623" w:rsidR="00821381" w:rsidRPr="00645BC8" w:rsidRDefault="00821381" w:rsidP="00821381">
            <w:pPr>
              <w:ind w:left="-15" w:right="2"/>
              <w:jc w:val="both"/>
              <w:rPr>
                <w:rFonts w:asciiTheme="minorHAnsi" w:hAnsiTheme="minorHAnsi" w:cstheme="minorHAnsi"/>
                <w:sz w:val="20"/>
                <w:szCs w:val="20"/>
              </w:rPr>
            </w:pPr>
            <w:r w:rsidRPr="00645BC8">
              <w:rPr>
                <w:rFonts w:asciiTheme="minorHAnsi" w:hAnsiTheme="minorHAnsi" w:cstheme="minorHAnsi"/>
                <w:color w:val="000000"/>
                <w:sz w:val="20"/>
                <w:szCs w:val="20"/>
              </w:rPr>
              <w:t>Δημοσίευση της ανακοίνωσης - πρόσκλησης προς το επενδυτικό κοινό και έναρξης της Ελληνικής Δημόσιας Προσφοράς</w:t>
            </w:r>
          </w:p>
        </w:tc>
      </w:tr>
      <w:tr w:rsidR="00821381" w:rsidRPr="00FD4811" w14:paraId="21F90A2D" w14:textId="77777777" w:rsidTr="00645BC8">
        <w:trPr>
          <w:trHeight w:val="442"/>
        </w:trPr>
        <w:tc>
          <w:tcPr>
            <w:tcW w:w="1814" w:type="dxa"/>
            <w:tcBorders>
              <w:top w:val="single" w:sz="4" w:space="0" w:color="auto"/>
              <w:left w:val="single" w:sz="4" w:space="0" w:color="auto"/>
              <w:bottom w:val="single" w:sz="4" w:space="0" w:color="auto"/>
              <w:right w:val="single" w:sz="4" w:space="0" w:color="auto"/>
            </w:tcBorders>
          </w:tcPr>
          <w:p w14:paraId="6077AE53" w14:textId="6EC285A6" w:rsidR="00821381" w:rsidRPr="00645BC8" w:rsidRDefault="00821381" w:rsidP="00821381">
            <w:pPr>
              <w:ind w:right="2"/>
              <w:rPr>
                <w:rFonts w:asciiTheme="minorHAnsi" w:hAnsiTheme="minorHAnsi" w:cstheme="minorHAnsi"/>
                <w:sz w:val="20"/>
                <w:szCs w:val="20"/>
              </w:rPr>
            </w:pPr>
            <w:r w:rsidRPr="00645BC8">
              <w:rPr>
                <w:rFonts w:asciiTheme="minorHAnsi" w:hAnsiTheme="minorHAnsi" w:cstheme="minorHAnsi"/>
                <w:color w:val="000000"/>
                <w:sz w:val="20"/>
                <w:szCs w:val="20"/>
              </w:rPr>
              <w:t>30.03.2026</w:t>
            </w:r>
          </w:p>
        </w:tc>
        <w:tc>
          <w:tcPr>
            <w:tcW w:w="6691" w:type="dxa"/>
            <w:tcBorders>
              <w:top w:val="single" w:sz="4" w:space="0" w:color="auto"/>
              <w:left w:val="single" w:sz="4" w:space="0" w:color="auto"/>
              <w:bottom w:val="single" w:sz="4" w:space="0" w:color="auto"/>
              <w:right w:val="single" w:sz="4" w:space="0" w:color="auto"/>
            </w:tcBorders>
          </w:tcPr>
          <w:p w14:paraId="6A678F80" w14:textId="58349BFC" w:rsidR="00821381" w:rsidRPr="00645BC8" w:rsidRDefault="00821381" w:rsidP="00821381">
            <w:pPr>
              <w:ind w:left="-15" w:right="2"/>
              <w:jc w:val="both"/>
              <w:rPr>
                <w:rFonts w:asciiTheme="minorHAnsi" w:hAnsiTheme="minorHAnsi" w:cstheme="minorHAnsi"/>
                <w:sz w:val="20"/>
                <w:szCs w:val="20"/>
              </w:rPr>
            </w:pPr>
            <w:r w:rsidRPr="00645BC8">
              <w:rPr>
                <w:rFonts w:asciiTheme="minorHAnsi" w:hAnsiTheme="minorHAnsi" w:cstheme="minorHAnsi"/>
                <w:color w:val="000000"/>
                <w:sz w:val="20"/>
                <w:szCs w:val="20"/>
              </w:rPr>
              <w:t>Ημερομηνία Καταγραφής για το Δικαίωμα Προνομιακής Κατανομής</w:t>
            </w:r>
          </w:p>
        </w:tc>
      </w:tr>
      <w:tr w:rsidR="00821381" w:rsidRPr="00FD4811" w14:paraId="4E212472" w14:textId="77777777" w:rsidTr="00645BC8">
        <w:trPr>
          <w:trHeight w:val="442"/>
        </w:trPr>
        <w:tc>
          <w:tcPr>
            <w:tcW w:w="1814" w:type="dxa"/>
            <w:tcBorders>
              <w:top w:val="single" w:sz="4" w:space="0" w:color="auto"/>
              <w:left w:val="single" w:sz="4" w:space="0" w:color="auto"/>
              <w:bottom w:val="single" w:sz="4" w:space="0" w:color="auto"/>
              <w:right w:val="single" w:sz="4" w:space="0" w:color="auto"/>
            </w:tcBorders>
          </w:tcPr>
          <w:p w14:paraId="6A0830AB" w14:textId="17F3A4A8" w:rsidR="00821381" w:rsidRPr="00645BC8" w:rsidRDefault="00821381" w:rsidP="00821381">
            <w:pPr>
              <w:ind w:right="2"/>
              <w:rPr>
                <w:rFonts w:asciiTheme="minorHAnsi" w:hAnsiTheme="minorHAnsi" w:cstheme="minorHAnsi"/>
                <w:sz w:val="20"/>
                <w:szCs w:val="20"/>
              </w:rPr>
            </w:pPr>
            <w:r w:rsidRPr="00645BC8">
              <w:rPr>
                <w:rFonts w:asciiTheme="minorHAnsi" w:hAnsiTheme="minorHAnsi" w:cstheme="minorHAnsi"/>
                <w:color w:val="000000"/>
                <w:sz w:val="20"/>
                <w:szCs w:val="20"/>
              </w:rPr>
              <w:t>30.03.2026</w:t>
            </w:r>
          </w:p>
        </w:tc>
        <w:tc>
          <w:tcPr>
            <w:tcW w:w="6691" w:type="dxa"/>
            <w:tcBorders>
              <w:top w:val="single" w:sz="4" w:space="0" w:color="auto"/>
              <w:left w:val="single" w:sz="4" w:space="0" w:color="auto"/>
              <w:bottom w:val="single" w:sz="4" w:space="0" w:color="auto"/>
              <w:right w:val="single" w:sz="4" w:space="0" w:color="auto"/>
            </w:tcBorders>
          </w:tcPr>
          <w:p w14:paraId="57400588" w14:textId="0C319C02" w:rsidR="00821381" w:rsidRPr="00645BC8" w:rsidRDefault="00821381" w:rsidP="00821381">
            <w:pPr>
              <w:ind w:left="-15" w:right="2"/>
              <w:jc w:val="both"/>
              <w:rPr>
                <w:rFonts w:asciiTheme="minorHAnsi" w:hAnsiTheme="minorHAnsi" w:cstheme="minorHAnsi"/>
                <w:sz w:val="20"/>
                <w:szCs w:val="20"/>
              </w:rPr>
            </w:pPr>
            <w:r w:rsidRPr="00645BC8">
              <w:rPr>
                <w:rFonts w:asciiTheme="minorHAnsi" w:hAnsiTheme="minorHAnsi" w:cstheme="minorHAnsi"/>
                <w:color w:val="000000"/>
                <w:sz w:val="20"/>
                <w:szCs w:val="20"/>
              </w:rPr>
              <w:t>Έναρξη της Ελληνικής Δημόσιας Προσφοράς</w:t>
            </w:r>
          </w:p>
        </w:tc>
      </w:tr>
      <w:tr w:rsidR="00821381" w:rsidRPr="00FD4811" w14:paraId="6399E253" w14:textId="77777777" w:rsidTr="00645BC8">
        <w:trPr>
          <w:trHeight w:val="442"/>
        </w:trPr>
        <w:tc>
          <w:tcPr>
            <w:tcW w:w="1814" w:type="dxa"/>
            <w:tcBorders>
              <w:top w:val="single" w:sz="4" w:space="0" w:color="auto"/>
              <w:left w:val="single" w:sz="4" w:space="0" w:color="auto"/>
              <w:bottom w:val="single" w:sz="4" w:space="0" w:color="auto"/>
              <w:right w:val="single" w:sz="4" w:space="0" w:color="auto"/>
            </w:tcBorders>
          </w:tcPr>
          <w:p w14:paraId="688014C9" w14:textId="3B81A716" w:rsidR="00821381" w:rsidRPr="00645BC8" w:rsidRDefault="00645BC8" w:rsidP="00821381">
            <w:pPr>
              <w:ind w:right="2"/>
              <w:rPr>
                <w:rFonts w:asciiTheme="minorHAnsi" w:hAnsiTheme="minorHAnsi" w:cstheme="minorHAnsi"/>
                <w:sz w:val="20"/>
                <w:szCs w:val="20"/>
              </w:rPr>
            </w:pPr>
            <w:r w:rsidRPr="00645BC8">
              <w:rPr>
                <w:rFonts w:asciiTheme="minorHAnsi" w:hAnsiTheme="minorHAnsi" w:cstheme="minorHAnsi"/>
                <w:color w:val="000000"/>
                <w:sz w:val="20"/>
                <w:szCs w:val="20"/>
              </w:rPr>
              <w:t>0</w:t>
            </w:r>
            <w:r w:rsidR="00821381" w:rsidRPr="00645BC8">
              <w:rPr>
                <w:rFonts w:asciiTheme="minorHAnsi" w:hAnsiTheme="minorHAnsi" w:cstheme="minorHAnsi"/>
                <w:color w:val="000000"/>
                <w:sz w:val="20"/>
                <w:szCs w:val="20"/>
              </w:rPr>
              <w:t>1.04.2026</w:t>
            </w:r>
          </w:p>
        </w:tc>
        <w:tc>
          <w:tcPr>
            <w:tcW w:w="6691" w:type="dxa"/>
            <w:tcBorders>
              <w:top w:val="single" w:sz="4" w:space="0" w:color="auto"/>
              <w:left w:val="single" w:sz="4" w:space="0" w:color="auto"/>
              <w:bottom w:val="single" w:sz="4" w:space="0" w:color="auto"/>
              <w:right w:val="single" w:sz="4" w:space="0" w:color="auto"/>
            </w:tcBorders>
          </w:tcPr>
          <w:p w14:paraId="14AA4807" w14:textId="0AB738B2" w:rsidR="00821381" w:rsidRPr="00645BC8" w:rsidRDefault="00821381" w:rsidP="00821381">
            <w:pPr>
              <w:ind w:left="-15" w:right="2"/>
              <w:jc w:val="both"/>
              <w:rPr>
                <w:rFonts w:asciiTheme="minorHAnsi" w:hAnsiTheme="minorHAnsi" w:cstheme="minorHAnsi"/>
                <w:sz w:val="20"/>
                <w:szCs w:val="20"/>
              </w:rPr>
            </w:pPr>
            <w:r w:rsidRPr="00645BC8">
              <w:rPr>
                <w:rFonts w:asciiTheme="minorHAnsi" w:hAnsiTheme="minorHAnsi" w:cstheme="minorHAnsi"/>
                <w:color w:val="000000"/>
                <w:sz w:val="20"/>
                <w:szCs w:val="20"/>
              </w:rPr>
              <w:t>Λήξη της Ελληνικής Δημόσιας Προσφοράς</w:t>
            </w:r>
          </w:p>
        </w:tc>
      </w:tr>
      <w:tr w:rsidR="00821381" w:rsidRPr="00FD4811" w14:paraId="6ECECBFF" w14:textId="77777777" w:rsidTr="00645BC8">
        <w:trPr>
          <w:trHeight w:val="442"/>
        </w:trPr>
        <w:tc>
          <w:tcPr>
            <w:tcW w:w="1814" w:type="dxa"/>
            <w:tcBorders>
              <w:top w:val="single" w:sz="4" w:space="0" w:color="auto"/>
              <w:left w:val="single" w:sz="4" w:space="0" w:color="auto"/>
              <w:bottom w:val="single" w:sz="4" w:space="0" w:color="auto"/>
              <w:right w:val="single" w:sz="4" w:space="0" w:color="auto"/>
            </w:tcBorders>
          </w:tcPr>
          <w:p w14:paraId="60B4CDBC" w14:textId="698D0C2D" w:rsidR="00821381" w:rsidRPr="00645BC8" w:rsidRDefault="00645BC8" w:rsidP="00821381">
            <w:pPr>
              <w:ind w:right="2"/>
              <w:rPr>
                <w:rFonts w:asciiTheme="minorHAnsi" w:hAnsiTheme="minorHAnsi" w:cstheme="minorHAnsi"/>
                <w:sz w:val="20"/>
                <w:szCs w:val="20"/>
              </w:rPr>
            </w:pPr>
            <w:r w:rsidRPr="00645BC8">
              <w:rPr>
                <w:rFonts w:asciiTheme="minorHAnsi" w:hAnsiTheme="minorHAnsi" w:cstheme="minorHAnsi"/>
                <w:color w:val="000000"/>
                <w:sz w:val="20"/>
                <w:szCs w:val="20"/>
              </w:rPr>
              <w:t>0</w:t>
            </w:r>
            <w:r w:rsidR="00821381" w:rsidRPr="00645BC8">
              <w:rPr>
                <w:rFonts w:asciiTheme="minorHAnsi" w:hAnsiTheme="minorHAnsi" w:cstheme="minorHAnsi"/>
                <w:color w:val="000000"/>
                <w:sz w:val="20"/>
                <w:szCs w:val="20"/>
              </w:rPr>
              <w:t>7.04.2026</w:t>
            </w:r>
          </w:p>
        </w:tc>
        <w:tc>
          <w:tcPr>
            <w:tcW w:w="6691" w:type="dxa"/>
            <w:tcBorders>
              <w:top w:val="single" w:sz="4" w:space="0" w:color="auto"/>
              <w:left w:val="single" w:sz="4" w:space="0" w:color="auto"/>
              <w:bottom w:val="single" w:sz="4" w:space="0" w:color="auto"/>
              <w:right w:val="single" w:sz="4" w:space="0" w:color="auto"/>
            </w:tcBorders>
          </w:tcPr>
          <w:p w14:paraId="134590C0" w14:textId="2A44AC32" w:rsidR="00821381" w:rsidRPr="00645BC8" w:rsidRDefault="00821381" w:rsidP="00821381">
            <w:pPr>
              <w:ind w:left="-15" w:right="2"/>
              <w:jc w:val="both"/>
              <w:rPr>
                <w:rFonts w:asciiTheme="minorHAnsi" w:hAnsiTheme="minorHAnsi" w:cstheme="minorHAnsi"/>
                <w:sz w:val="20"/>
                <w:szCs w:val="20"/>
              </w:rPr>
            </w:pPr>
            <w:r w:rsidRPr="00645BC8">
              <w:rPr>
                <w:rFonts w:asciiTheme="minorHAnsi" w:hAnsiTheme="minorHAnsi" w:cstheme="minorHAnsi"/>
                <w:color w:val="000000"/>
                <w:sz w:val="20"/>
                <w:szCs w:val="20"/>
              </w:rPr>
              <w:t>Αποδέσμευση των κεφαλαίων επενδυτών και καταβολή αντιτίμου των κατανεμηθεισών μετοχών από του</w:t>
            </w:r>
            <w:r w:rsidR="00156476">
              <w:rPr>
                <w:rFonts w:asciiTheme="minorHAnsi" w:hAnsiTheme="minorHAnsi" w:cstheme="minorHAnsi"/>
                <w:color w:val="000000"/>
                <w:sz w:val="20"/>
                <w:szCs w:val="20"/>
              </w:rPr>
              <w:t>ς</w:t>
            </w:r>
            <w:r w:rsidRPr="00645BC8">
              <w:rPr>
                <w:rFonts w:asciiTheme="minorHAnsi" w:hAnsiTheme="minorHAnsi" w:cstheme="minorHAnsi"/>
                <w:color w:val="000000"/>
                <w:sz w:val="20"/>
                <w:szCs w:val="20"/>
              </w:rPr>
              <w:t xml:space="preserve"> Ειδικούς Επενδυτές</w:t>
            </w:r>
          </w:p>
        </w:tc>
      </w:tr>
      <w:tr w:rsidR="00821381" w:rsidRPr="00FD4811" w14:paraId="1A44F11C" w14:textId="77777777" w:rsidTr="00645BC8">
        <w:trPr>
          <w:trHeight w:val="442"/>
        </w:trPr>
        <w:tc>
          <w:tcPr>
            <w:tcW w:w="1814" w:type="dxa"/>
            <w:tcBorders>
              <w:top w:val="single" w:sz="4" w:space="0" w:color="auto"/>
              <w:left w:val="single" w:sz="4" w:space="0" w:color="auto"/>
              <w:bottom w:val="single" w:sz="4" w:space="0" w:color="auto"/>
              <w:right w:val="single" w:sz="4" w:space="0" w:color="auto"/>
            </w:tcBorders>
          </w:tcPr>
          <w:p w14:paraId="0E74E2F6" w14:textId="614A7842" w:rsidR="00821381" w:rsidRPr="00645BC8" w:rsidRDefault="00645BC8" w:rsidP="00821381">
            <w:pPr>
              <w:ind w:right="2"/>
              <w:rPr>
                <w:rFonts w:asciiTheme="minorHAnsi" w:hAnsiTheme="minorHAnsi" w:cstheme="minorHAnsi"/>
                <w:sz w:val="20"/>
                <w:szCs w:val="20"/>
              </w:rPr>
            </w:pPr>
            <w:r w:rsidRPr="00645BC8">
              <w:rPr>
                <w:rFonts w:asciiTheme="minorHAnsi" w:hAnsiTheme="minorHAnsi" w:cstheme="minorHAnsi"/>
                <w:color w:val="000000"/>
                <w:sz w:val="20"/>
                <w:szCs w:val="20"/>
              </w:rPr>
              <w:t>0</w:t>
            </w:r>
            <w:r w:rsidR="00821381" w:rsidRPr="00645BC8">
              <w:rPr>
                <w:rFonts w:asciiTheme="minorHAnsi" w:hAnsiTheme="minorHAnsi" w:cstheme="minorHAnsi"/>
                <w:color w:val="000000"/>
                <w:sz w:val="20"/>
                <w:szCs w:val="20"/>
              </w:rPr>
              <w:t>7</w:t>
            </w:r>
            <w:r w:rsidR="00821381" w:rsidRPr="00645BC8">
              <w:rPr>
                <w:rFonts w:asciiTheme="minorHAnsi" w:hAnsiTheme="minorHAnsi" w:cstheme="minorHAnsi"/>
                <w:color w:val="000000"/>
                <w:sz w:val="20"/>
                <w:szCs w:val="20"/>
                <w:lang w:val="en-US"/>
              </w:rPr>
              <w:t>.</w:t>
            </w:r>
            <w:r w:rsidR="00821381" w:rsidRPr="00645BC8">
              <w:rPr>
                <w:rFonts w:asciiTheme="minorHAnsi" w:hAnsiTheme="minorHAnsi" w:cstheme="minorHAnsi"/>
                <w:color w:val="000000"/>
                <w:sz w:val="20"/>
                <w:szCs w:val="20"/>
              </w:rPr>
              <w:t>04</w:t>
            </w:r>
            <w:r w:rsidR="00821381" w:rsidRPr="00645BC8">
              <w:rPr>
                <w:rFonts w:asciiTheme="minorHAnsi" w:hAnsiTheme="minorHAnsi" w:cstheme="minorHAnsi"/>
                <w:color w:val="000000"/>
                <w:sz w:val="20"/>
                <w:szCs w:val="20"/>
                <w:lang w:val="en-US"/>
              </w:rPr>
              <w:t>.2026</w:t>
            </w:r>
          </w:p>
        </w:tc>
        <w:tc>
          <w:tcPr>
            <w:tcW w:w="6691" w:type="dxa"/>
            <w:tcBorders>
              <w:top w:val="single" w:sz="4" w:space="0" w:color="auto"/>
              <w:left w:val="single" w:sz="4" w:space="0" w:color="auto"/>
              <w:bottom w:val="single" w:sz="4" w:space="0" w:color="auto"/>
              <w:right w:val="single" w:sz="4" w:space="0" w:color="auto"/>
            </w:tcBorders>
          </w:tcPr>
          <w:p w14:paraId="3533AB71" w14:textId="3CDD67B6" w:rsidR="00821381" w:rsidRPr="00645BC8" w:rsidRDefault="00821381" w:rsidP="00821381">
            <w:pPr>
              <w:ind w:left="-15" w:right="2"/>
              <w:jc w:val="both"/>
              <w:rPr>
                <w:rFonts w:asciiTheme="minorHAnsi" w:hAnsiTheme="minorHAnsi" w:cstheme="minorHAnsi"/>
                <w:sz w:val="20"/>
                <w:szCs w:val="20"/>
              </w:rPr>
            </w:pPr>
            <w:r w:rsidRPr="00645BC8">
              <w:rPr>
                <w:rFonts w:asciiTheme="minorHAnsi" w:hAnsiTheme="minorHAnsi" w:cstheme="minorHAnsi"/>
                <w:color w:val="000000"/>
                <w:sz w:val="20"/>
                <w:szCs w:val="20"/>
              </w:rPr>
              <w:t xml:space="preserve">Απόφαση Δ.Σ. σχετικά με την πιστοποίηση της καταβολής της Αύξησης Μετοχικού Κεφαλαίου στο πλαίσιο της Αύξησης Μετοχικού Κεφαλαίου, με έκθεση ορκωτού λογιστή ή ελεγκτικής εταιρείας. </w:t>
            </w:r>
          </w:p>
        </w:tc>
      </w:tr>
      <w:tr w:rsidR="00821381" w:rsidRPr="00FD4811" w14:paraId="15466BFF" w14:textId="77777777" w:rsidTr="00645BC8">
        <w:trPr>
          <w:trHeight w:val="442"/>
        </w:trPr>
        <w:tc>
          <w:tcPr>
            <w:tcW w:w="1814" w:type="dxa"/>
            <w:tcBorders>
              <w:top w:val="single" w:sz="4" w:space="0" w:color="auto"/>
              <w:left w:val="single" w:sz="4" w:space="0" w:color="auto"/>
              <w:bottom w:val="single" w:sz="4" w:space="0" w:color="auto"/>
              <w:right w:val="single" w:sz="4" w:space="0" w:color="auto"/>
            </w:tcBorders>
          </w:tcPr>
          <w:p w14:paraId="61E27797" w14:textId="475CEDC5" w:rsidR="00821381" w:rsidRPr="00645BC8" w:rsidRDefault="00645BC8" w:rsidP="00821381">
            <w:pPr>
              <w:ind w:right="2"/>
              <w:rPr>
                <w:rFonts w:asciiTheme="minorHAnsi" w:hAnsiTheme="minorHAnsi" w:cstheme="minorHAnsi"/>
                <w:sz w:val="20"/>
                <w:szCs w:val="20"/>
              </w:rPr>
            </w:pPr>
            <w:r w:rsidRPr="00645BC8">
              <w:rPr>
                <w:rFonts w:asciiTheme="minorHAnsi" w:hAnsiTheme="minorHAnsi" w:cstheme="minorHAnsi"/>
                <w:color w:val="000000"/>
                <w:sz w:val="20"/>
                <w:szCs w:val="20"/>
              </w:rPr>
              <w:t>0</w:t>
            </w:r>
            <w:r w:rsidR="00821381" w:rsidRPr="00645BC8">
              <w:rPr>
                <w:rFonts w:asciiTheme="minorHAnsi" w:hAnsiTheme="minorHAnsi" w:cstheme="minorHAnsi"/>
                <w:color w:val="000000"/>
                <w:sz w:val="20"/>
                <w:szCs w:val="20"/>
              </w:rPr>
              <w:t>7.04.2026</w:t>
            </w:r>
          </w:p>
        </w:tc>
        <w:tc>
          <w:tcPr>
            <w:tcW w:w="6691" w:type="dxa"/>
            <w:tcBorders>
              <w:top w:val="single" w:sz="4" w:space="0" w:color="auto"/>
              <w:left w:val="single" w:sz="4" w:space="0" w:color="auto"/>
              <w:bottom w:val="single" w:sz="4" w:space="0" w:color="auto"/>
              <w:right w:val="single" w:sz="4" w:space="0" w:color="auto"/>
            </w:tcBorders>
          </w:tcPr>
          <w:p w14:paraId="4812D371" w14:textId="38B5E3B0" w:rsidR="00821381" w:rsidRPr="00645BC8" w:rsidRDefault="00821381" w:rsidP="00821381">
            <w:pPr>
              <w:ind w:left="-15" w:right="2"/>
              <w:jc w:val="both"/>
              <w:rPr>
                <w:rFonts w:asciiTheme="minorHAnsi" w:hAnsiTheme="minorHAnsi" w:cstheme="minorHAnsi"/>
                <w:sz w:val="20"/>
                <w:szCs w:val="20"/>
              </w:rPr>
            </w:pPr>
            <w:r w:rsidRPr="00645BC8">
              <w:rPr>
                <w:rFonts w:asciiTheme="minorHAnsi" w:hAnsiTheme="minorHAnsi" w:cstheme="minorHAnsi"/>
                <w:color w:val="000000"/>
                <w:sz w:val="20"/>
                <w:szCs w:val="20"/>
              </w:rPr>
              <w:t>Δημοσίευση ανακοίνωσης σχετικά με την έκβαση της Συνδυασμένης Προσφοράς στο Η</w:t>
            </w:r>
            <w:r w:rsidR="008F1C68">
              <w:rPr>
                <w:rFonts w:asciiTheme="minorHAnsi" w:hAnsiTheme="minorHAnsi" w:cstheme="minorHAnsi"/>
                <w:color w:val="000000"/>
                <w:sz w:val="20"/>
                <w:szCs w:val="20"/>
              </w:rPr>
              <w:t>.</w:t>
            </w:r>
            <w:r w:rsidRPr="00645BC8">
              <w:rPr>
                <w:rFonts w:asciiTheme="minorHAnsi" w:hAnsiTheme="minorHAnsi" w:cstheme="minorHAnsi"/>
                <w:color w:val="000000"/>
                <w:sz w:val="20"/>
                <w:szCs w:val="20"/>
              </w:rPr>
              <w:t>Δ</w:t>
            </w:r>
            <w:r w:rsidR="008F1C68">
              <w:rPr>
                <w:rFonts w:asciiTheme="minorHAnsi" w:hAnsiTheme="minorHAnsi" w:cstheme="minorHAnsi"/>
                <w:color w:val="000000"/>
                <w:sz w:val="20"/>
                <w:szCs w:val="20"/>
              </w:rPr>
              <w:t>.</w:t>
            </w:r>
            <w:r w:rsidRPr="00645BC8">
              <w:rPr>
                <w:rFonts w:asciiTheme="minorHAnsi" w:hAnsiTheme="minorHAnsi" w:cstheme="minorHAnsi"/>
                <w:color w:val="000000"/>
                <w:sz w:val="20"/>
                <w:szCs w:val="20"/>
              </w:rPr>
              <w:t xml:space="preserve">Τ του Χ.Α. και τον </w:t>
            </w:r>
            <w:proofErr w:type="spellStart"/>
            <w:r w:rsidRPr="00645BC8">
              <w:rPr>
                <w:rFonts w:asciiTheme="minorHAnsi" w:hAnsiTheme="minorHAnsi" w:cstheme="minorHAnsi"/>
                <w:color w:val="000000"/>
                <w:sz w:val="20"/>
                <w:szCs w:val="20"/>
              </w:rPr>
              <w:t>ιστότοπο</w:t>
            </w:r>
            <w:proofErr w:type="spellEnd"/>
            <w:r w:rsidRPr="00645BC8">
              <w:rPr>
                <w:rFonts w:asciiTheme="minorHAnsi" w:hAnsiTheme="minorHAnsi" w:cstheme="minorHAnsi"/>
                <w:color w:val="000000"/>
                <w:sz w:val="20"/>
                <w:szCs w:val="20"/>
              </w:rPr>
              <w:t xml:space="preserve"> της Εταιρείας</w:t>
            </w:r>
          </w:p>
        </w:tc>
      </w:tr>
      <w:tr w:rsidR="00821381" w:rsidRPr="00FD4811" w14:paraId="05634083" w14:textId="77777777" w:rsidTr="00645BC8">
        <w:trPr>
          <w:trHeight w:val="213"/>
        </w:trPr>
        <w:tc>
          <w:tcPr>
            <w:tcW w:w="1814" w:type="dxa"/>
            <w:tcBorders>
              <w:top w:val="single" w:sz="4" w:space="0" w:color="auto"/>
              <w:left w:val="single" w:sz="4" w:space="0" w:color="auto"/>
              <w:bottom w:val="single" w:sz="4" w:space="0" w:color="auto"/>
              <w:right w:val="single" w:sz="4" w:space="0" w:color="auto"/>
            </w:tcBorders>
          </w:tcPr>
          <w:p w14:paraId="49A9D63A" w14:textId="4115DD0C" w:rsidR="00821381" w:rsidRPr="00645BC8" w:rsidRDefault="00645BC8" w:rsidP="00821381">
            <w:pPr>
              <w:ind w:right="2"/>
              <w:rPr>
                <w:rFonts w:asciiTheme="minorHAnsi" w:hAnsiTheme="minorHAnsi" w:cstheme="minorHAnsi"/>
                <w:sz w:val="20"/>
                <w:szCs w:val="20"/>
              </w:rPr>
            </w:pPr>
            <w:r w:rsidRPr="00645BC8">
              <w:rPr>
                <w:rFonts w:asciiTheme="minorHAnsi" w:hAnsiTheme="minorHAnsi" w:cstheme="minorHAnsi"/>
                <w:color w:val="000000"/>
                <w:sz w:val="20"/>
                <w:szCs w:val="20"/>
              </w:rPr>
              <w:t>0</w:t>
            </w:r>
            <w:r w:rsidR="00821381" w:rsidRPr="00645BC8">
              <w:rPr>
                <w:rFonts w:asciiTheme="minorHAnsi" w:hAnsiTheme="minorHAnsi" w:cstheme="minorHAnsi"/>
                <w:color w:val="000000"/>
                <w:sz w:val="20"/>
                <w:szCs w:val="20"/>
              </w:rPr>
              <w:t>7.04.2026</w:t>
            </w:r>
          </w:p>
        </w:tc>
        <w:tc>
          <w:tcPr>
            <w:tcW w:w="6691" w:type="dxa"/>
            <w:tcBorders>
              <w:top w:val="single" w:sz="4" w:space="0" w:color="auto"/>
              <w:left w:val="single" w:sz="4" w:space="0" w:color="auto"/>
              <w:bottom w:val="single" w:sz="4" w:space="0" w:color="auto"/>
              <w:right w:val="single" w:sz="4" w:space="0" w:color="auto"/>
            </w:tcBorders>
          </w:tcPr>
          <w:p w14:paraId="138C3894" w14:textId="4559BD45" w:rsidR="00821381" w:rsidRPr="00645BC8" w:rsidRDefault="00821381" w:rsidP="00821381">
            <w:pPr>
              <w:ind w:left="-15" w:right="2"/>
              <w:jc w:val="both"/>
              <w:rPr>
                <w:rFonts w:asciiTheme="minorHAnsi" w:hAnsiTheme="minorHAnsi" w:cstheme="minorHAnsi"/>
                <w:sz w:val="20"/>
                <w:szCs w:val="20"/>
              </w:rPr>
            </w:pPr>
            <w:r w:rsidRPr="00645BC8">
              <w:rPr>
                <w:rFonts w:asciiTheme="minorHAnsi" w:hAnsiTheme="minorHAnsi" w:cstheme="minorHAnsi"/>
                <w:color w:val="000000"/>
                <w:sz w:val="20"/>
                <w:szCs w:val="20"/>
              </w:rPr>
              <w:t>Έγκριση από την αρμόδια επιτροπή του Χ.Α. για την εισαγωγή προς διαπραγμάτευση των Νέων Μετοχών</w:t>
            </w:r>
          </w:p>
        </w:tc>
      </w:tr>
      <w:tr w:rsidR="00821381" w:rsidRPr="00FD4811" w14:paraId="4BDA2D7B" w14:textId="77777777" w:rsidTr="00645BC8">
        <w:trPr>
          <w:trHeight w:val="146"/>
        </w:trPr>
        <w:tc>
          <w:tcPr>
            <w:tcW w:w="1814" w:type="dxa"/>
            <w:tcBorders>
              <w:top w:val="single" w:sz="4" w:space="0" w:color="auto"/>
              <w:left w:val="single" w:sz="4" w:space="0" w:color="auto"/>
              <w:bottom w:val="single" w:sz="4" w:space="0" w:color="auto"/>
              <w:right w:val="single" w:sz="4" w:space="0" w:color="auto"/>
            </w:tcBorders>
          </w:tcPr>
          <w:p w14:paraId="4BAEA4A6" w14:textId="402B3C70" w:rsidR="00821381" w:rsidRPr="00645BC8" w:rsidRDefault="00645BC8" w:rsidP="00821381">
            <w:pPr>
              <w:ind w:right="2"/>
              <w:rPr>
                <w:rFonts w:asciiTheme="minorHAnsi" w:hAnsiTheme="minorHAnsi" w:cstheme="minorHAnsi"/>
                <w:sz w:val="20"/>
                <w:szCs w:val="20"/>
              </w:rPr>
            </w:pPr>
            <w:r w:rsidRPr="00645BC8">
              <w:rPr>
                <w:rFonts w:asciiTheme="minorHAnsi" w:hAnsiTheme="minorHAnsi" w:cstheme="minorHAnsi"/>
                <w:color w:val="000000"/>
                <w:sz w:val="20"/>
                <w:szCs w:val="20"/>
              </w:rPr>
              <w:t>0</w:t>
            </w:r>
            <w:r w:rsidR="00821381" w:rsidRPr="00645BC8">
              <w:rPr>
                <w:rFonts w:asciiTheme="minorHAnsi" w:hAnsiTheme="minorHAnsi" w:cstheme="minorHAnsi"/>
                <w:color w:val="000000"/>
                <w:sz w:val="20"/>
                <w:szCs w:val="20"/>
              </w:rPr>
              <w:t>7.04.2026</w:t>
            </w:r>
          </w:p>
        </w:tc>
        <w:tc>
          <w:tcPr>
            <w:tcW w:w="6691" w:type="dxa"/>
            <w:tcBorders>
              <w:top w:val="single" w:sz="4" w:space="0" w:color="auto"/>
              <w:left w:val="single" w:sz="4" w:space="0" w:color="auto"/>
              <w:bottom w:val="single" w:sz="4" w:space="0" w:color="auto"/>
              <w:right w:val="single" w:sz="4" w:space="0" w:color="auto"/>
            </w:tcBorders>
          </w:tcPr>
          <w:p w14:paraId="05EF63F4" w14:textId="75BFD3D7" w:rsidR="00821381" w:rsidRPr="00645BC8" w:rsidRDefault="00821381" w:rsidP="00821381">
            <w:pPr>
              <w:ind w:left="-15" w:right="2"/>
              <w:jc w:val="both"/>
              <w:rPr>
                <w:rFonts w:asciiTheme="minorHAnsi" w:hAnsiTheme="minorHAnsi" w:cstheme="minorHAnsi"/>
                <w:sz w:val="20"/>
                <w:szCs w:val="20"/>
              </w:rPr>
            </w:pPr>
            <w:r w:rsidRPr="00645BC8">
              <w:rPr>
                <w:rFonts w:asciiTheme="minorHAnsi" w:hAnsiTheme="minorHAnsi" w:cstheme="minorHAnsi"/>
                <w:color w:val="000000"/>
                <w:sz w:val="20"/>
                <w:szCs w:val="20"/>
              </w:rPr>
              <w:t xml:space="preserve">Ανακοίνωση για την ημερομηνία έναρξης διαπραγμάτευσης των Νέων Μετοχών στο Η.Δ.Τ. του Χ.Α. και στον </w:t>
            </w:r>
            <w:proofErr w:type="spellStart"/>
            <w:r w:rsidRPr="00645BC8">
              <w:rPr>
                <w:rFonts w:asciiTheme="minorHAnsi" w:hAnsiTheme="minorHAnsi" w:cstheme="minorHAnsi"/>
                <w:color w:val="000000"/>
                <w:sz w:val="20"/>
                <w:szCs w:val="20"/>
              </w:rPr>
              <w:t>ιστότοπο</w:t>
            </w:r>
            <w:proofErr w:type="spellEnd"/>
            <w:r w:rsidRPr="00645BC8">
              <w:rPr>
                <w:rFonts w:asciiTheme="minorHAnsi" w:hAnsiTheme="minorHAnsi" w:cstheme="minorHAnsi"/>
                <w:color w:val="000000"/>
                <w:sz w:val="20"/>
                <w:szCs w:val="20"/>
              </w:rPr>
              <w:t xml:space="preserve"> της Εταιρείας</w:t>
            </w:r>
          </w:p>
        </w:tc>
      </w:tr>
      <w:tr w:rsidR="00821381" w:rsidRPr="00FD4811" w14:paraId="518668E4" w14:textId="77777777" w:rsidTr="00645BC8">
        <w:trPr>
          <w:trHeight w:val="146"/>
        </w:trPr>
        <w:tc>
          <w:tcPr>
            <w:tcW w:w="1814" w:type="dxa"/>
            <w:tcBorders>
              <w:top w:val="single" w:sz="4" w:space="0" w:color="auto"/>
              <w:left w:val="single" w:sz="4" w:space="0" w:color="auto"/>
              <w:bottom w:val="single" w:sz="4" w:space="0" w:color="auto"/>
              <w:right w:val="single" w:sz="4" w:space="0" w:color="auto"/>
            </w:tcBorders>
          </w:tcPr>
          <w:p w14:paraId="2C21C113" w14:textId="725645F4" w:rsidR="00821381" w:rsidRPr="00645BC8" w:rsidRDefault="00645BC8" w:rsidP="00821381">
            <w:pPr>
              <w:ind w:right="2"/>
              <w:rPr>
                <w:rFonts w:asciiTheme="minorHAnsi" w:hAnsiTheme="minorHAnsi" w:cstheme="minorHAnsi"/>
                <w:color w:val="000000"/>
                <w:sz w:val="20"/>
                <w:szCs w:val="20"/>
                <w:lang w:val="en-US"/>
              </w:rPr>
            </w:pPr>
            <w:r w:rsidRPr="00645BC8">
              <w:rPr>
                <w:rFonts w:asciiTheme="minorHAnsi" w:hAnsiTheme="minorHAnsi" w:cstheme="minorHAnsi"/>
                <w:color w:val="000000"/>
                <w:sz w:val="20"/>
                <w:szCs w:val="20"/>
              </w:rPr>
              <w:t>0</w:t>
            </w:r>
            <w:r w:rsidR="00821381" w:rsidRPr="00645BC8">
              <w:rPr>
                <w:rFonts w:asciiTheme="minorHAnsi" w:hAnsiTheme="minorHAnsi" w:cstheme="minorHAnsi"/>
                <w:color w:val="000000"/>
                <w:sz w:val="20"/>
                <w:szCs w:val="20"/>
              </w:rPr>
              <w:t>8.04.2026</w:t>
            </w:r>
          </w:p>
        </w:tc>
        <w:tc>
          <w:tcPr>
            <w:tcW w:w="6691" w:type="dxa"/>
            <w:tcBorders>
              <w:top w:val="single" w:sz="4" w:space="0" w:color="auto"/>
              <w:left w:val="single" w:sz="4" w:space="0" w:color="auto"/>
              <w:bottom w:val="single" w:sz="4" w:space="0" w:color="auto"/>
              <w:right w:val="single" w:sz="4" w:space="0" w:color="auto"/>
            </w:tcBorders>
          </w:tcPr>
          <w:p w14:paraId="25F8B6B8" w14:textId="4A5F1696" w:rsidR="00821381" w:rsidRPr="00645BC8" w:rsidRDefault="00821381" w:rsidP="00821381">
            <w:pPr>
              <w:ind w:left="-15" w:right="2"/>
              <w:jc w:val="both"/>
              <w:rPr>
                <w:rFonts w:asciiTheme="minorHAnsi" w:hAnsiTheme="minorHAnsi" w:cstheme="minorHAnsi"/>
                <w:color w:val="000000"/>
                <w:sz w:val="20"/>
                <w:szCs w:val="20"/>
              </w:rPr>
            </w:pPr>
            <w:r w:rsidRPr="00645BC8">
              <w:rPr>
                <w:rFonts w:asciiTheme="minorHAnsi" w:hAnsiTheme="minorHAnsi" w:cstheme="minorHAnsi"/>
                <w:color w:val="000000"/>
                <w:sz w:val="20"/>
                <w:szCs w:val="20"/>
              </w:rPr>
              <w:t>Έναρξη διαπραγμάτευσης των Νέων Μετοχών</w:t>
            </w:r>
          </w:p>
        </w:tc>
      </w:tr>
    </w:tbl>
    <w:p w14:paraId="27863543" w14:textId="2FD93CA2" w:rsidR="0055707E" w:rsidRPr="00567E92" w:rsidRDefault="002E5360" w:rsidP="0055707E">
      <w:pPr>
        <w:pStyle w:val="BodyText"/>
        <w:spacing w:before="121"/>
        <w:ind w:left="0" w:right="114"/>
        <w:rPr>
          <w:b/>
          <w:bCs/>
        </w:rPr>
      </w:pPr>
      <w:r w:rsidRPr="00C82AB3">
        <w:rPr>
          <w:rFonts w:asciiTheme="minorHAnsi" w:hAnsiTheme="minorHAnsi" w:cstheme="minorHAnsi"/>
        </w:rPr>
        <w:t xml:space="preserve">Σημειώνεται ότι το ανωτέρω χρονοδιάγραμμα εξαρτάται από </w:t>
      </w:r>
      <w:r w:rsidR="00E21C44">
        <w:rPr>
          <w:rFonts w:asciiTheme="minorHAnsi" w:hAnsiTheme="minorHAnsi" w:cstheme="minorHAnsi"/>
        </w:rPr>
        <w:t>πολλούς</w:t>
      </w:r>
      <w:r w:rsidRPr="00C82AB3">
        <w:rPr>
          <w:rFonts w:asciiTheme="minorHAnsi" w:hAnsiTheme="minorHAnsi" w:cstheme="minorHAnsi"/>
        </w:rPr>
        <w:t xml:space="preserve"> αστάθμητους παράγοντες και ενδέχεται να μεταβληθεί. </w:t>
      </w:r>
      <w:r w:rsidR="00E21C44">
        <w:rPr>
          <w:rFonts w:asciiTheme="minorHAnsi" w:hAnsiTheme="minorHAnsi" w:cstheme="minorHAnsi"/>
        </w:rPr>
        <w:t>Σε κάθε</w:t>
      </w:r>
      <w:r w:rsidRPr="00C82AB3">
        <w:rPr>
          <w:rFonts w:asciiTheme="minorHAnsi" w:hAnsiTheme="minorHAnsi" w:cstheme="minorHAnsi"/>
        </w:rPr>
        <w:t xml:space="preserve"> περίπτωση, θα υπάρξει ενημέρωση του επενδυτικού κοινού</w:t>
      </w:r>
      <w:r w:rsidR="00E21C44">
        <w:rPr>
          <w:rFonts w:asciiTheme="minorHAnsi" w:hAnsiTheme="minorHAnsi" w:cstheme="minorHAnsi"/>
        </w:rPr>
        <w:t xml:space="preserve"> με σχετική ανακοίνωση</w:t>
      </w:r>
      <w:r w:rsidRPr="00C82AB3">
        <w:rPr>
          <w:rFonts w:asciiTheme="minorHAnsi" w:hAnsiTheme="minorHAnsi" w:cstheme="minorHAnsi"/>
        </w:rPr>
        <w:t xml:space="preserve"> στο Η.Δ.Τ.</w:t>
      </w:r>
      <w:r w:rsidR="00E21C44">
        <w:rPr>
          <w:rFonts w:asciiTheme="minorHAnsi" w:hAnsiTheme="minorHAnsi" w:cstheme="minorHAnsi"/>
        </w:rPr>
        <w:t xml:space="preserve"> του Χ.Α.</w:t>
      </w:r>
      <w:r w:rsidRPr="00C82AB3">
        <w:rPr>
          <w:rFonts w:asciiTheme="minorHAnsi" w:hAnsiTheme="minorHAnsi" w:cstheme="minorHAnsi"/>
        </w:rPr>
        <w:t xml:space="preserve"> και </w:t>
      </w:r>
      <w:r w:rsidR="00E21C44">
        <w:rPr>
          <w:rFonts w:asciiTheme="minorHAnsi" w:hAnsiTheme="minorHAnsi" w:cstheme="minorHAnsi"/>
        </w:rPr>
        <w:t>τον</w:t>
      </w:r>
      <w:r w:rsidRPr="00C82AB3">
        <w:rPr>
          <w:rFonts w:asciiTheme="minorHAnsi" w:hAnsiTheme="minorHAnsi" w:cstheme="minorHAnsi"/>
        </w:rPr>
        <w:t xml:space="preserve"> </w:t>
      </w:r>
      <w:proofErr w:type="spellStart"/>
      <w:r w:rsidR="00E21C44">
        <w:rPr>
          <w:rFonts w:asciiTheme="minorHAnsi" w:hAnsiTheme="minorHAnsi" w:cstheme="minorHAnsi"/>
        </w:rPr>
        <w:t>ιστότοπο</w:t>
      </w:r>
      <w:proofErr w:type="spellEnd"/>
      <w:r w:rsidRPr="00C82AB3">
        <w:rPr>
          <w:rFonts w:asciiTheme="minorHAnsi" w:hAnsiTheme="minorHAnsi" w:cstheme="minorHAnsi"/>
        </w:rPr>
        <w:t xml:space="preserve"> της Εταιρείας</w:t>
      </w:r>
      <w:r w:rsidRPr="00322BF6">
        <w:rPr>
          <w:rFonts w:asciiTheme="minorHAnsi" w:hAnsiTheme="minorHAnsi" w:cstheme="minorHAnsi"/>
        </w:rPr>
        <w:t>.</w:t>
      </w:r>
    </w:p>
    <w:p w14:paraId="7C229C67" w14:textId="64B36353" w:rsidR="0055707E" w:rsidRPr="00821381" w:rsidRDefault="00645BC8" w:rsidP="0055707E">
      <w:pPr>
        <w:pStyle w:val="BodyText"/>
        <w:spacing w:before="121"/>
        <w:ind w:left="0" w:right="114"/>
      </w:pPr>
      <w:r w:rsidRPr="00645BC8">
        <w:t xml:space="preserve">Για περισσότερες πληροφορίες οι κ.κ. μέτοχοι μπορούν να απευθύνονται στο Τμήμα Εξυπηρέτησης Μετόχων της Εταιρείας στο email </w:t>
      </w:r>
      <w:hyperlink r:id="rId27" w:history="1">
        <w:r w:rsidRPr="00966DDA">
          <w:rPr>
            <w:rStyle w:val="Hyperlink"/>
          </w:rPr>
          <w:t>custodyservices@crediabank.com</w:t>
        </w:r>
      </w:hyperlink>
      <w:r w:rsidRPr="00645BC8">
        <w:t>.</w:t>
      </w:r>
    </w:p>
    <w:p w14:paraId="21C7839A" w14:textId="77777777" w:rsidR="00FE186D" w:rsidRPr="00D95CCD" w:rsidRDefault="00FE186D" w:rsidP="001A7873">
      <w:pPr>
        <w:pStyle w:val="BodyText"/>
        <w:rPr>
          <w:i/>
          <w:iCs/>
          <w:sz w:val="18"/>
          <w:szCs w:val="18"/>
        </w:rPr>
      </w:pPr>
    </w:p>
    <w:p w14:paraId="771C44FF" w14:textId="77777777" w:rsidR="00056E12" w:rsidRPr="00056E12" w:rsidRDefault="00056E12" w:rsidP="00056E12">
      <w:pPr>
        <w:tabs>
          <w:tab w:val="left" w:pos="889"/>
        </w:tabs>
        <w:spacing w:line="259" w:lineRule="auto"/>
        <w:ind w:right="45"/>
        <w:jc w:val="both"/>
        <w:rPr>
          <w:i/>
          <w:iCs/>
          <w:sz w:val="18"/>
          <w:szCs w:val="18"/>
        </w:rPr>
      </w:pPr>
      <w:r w:rsidRPr="00056E12">
        <w:rPr>
          <w:i/>
          <w:iCs/>
          <w:sz w:val="18"/>
          <w:szCs w:val="18"/>
        </w:rPr>
        <w:t>ΣΗΜΑΝΤΙΚΗ ΓΝΩΣΤΟΠΟΙΗΣΗ - ΑΠΟΠΟΙΗΣΗ ΕΥΘΥΝΗΣ</w:t>
      </w:r>
    </w:p>
    <w:p w14:paraId="128FF003" w14:textId="77777777" w:rsidR="00056E12" w:rsidRPr="00056E12" w:rsidRDefault="00056E12" w:rsidP="00056E12">
      <w:pPr>
        <w:tabs>
          <w:tab w:val="left" w:pos="889"/>
        </w:tabs>
        <w:spacing w:before="120" w:line="259" w:lineRule="auto"/>
        <w:ind w:right="45"/>
        <w:jc w:val="both"/>
        <w:rPr>
          <w:i/>
          <w:iCs/>
          <w:sz w:val="18"/>
          <w:szCs w:val="18"/>
        </w:rPr>
      </w:pPr>
      <w:r w:rsidRPr="00056E12">
        <w:rPr>
          <w:i/>
          <w:iCs/>
          <w:sz w:val="18"/>
          <w:szCs w:val="18"/>
        </w:rPr>
        <w:t>Η παρούσα ανακοίνωση έχει συνταχθεί μόνο για ενημερωτικούς σκοπούς. Οι πληροφορίες που περιέχονται στο παρόν δεν προορίζονται για κυκλοφορία, δημοσίευση ή διανομή, άμεσα ή έμμεσα, εντός ή προς τις Ηνωμένες Πολιτείες, τον Καναδά, την Αυστραλία, την Ιαπωνία ή οποιαδήποτε άλλη δικαιοδοσία στην οποία μια τέτοια κυκλοφορία , δημοσίευση ή διανομή θα ήταν παράνομη.</w:t>
      </w:r>
    </w:p>
    <w:p w14:paraId="36F762DB" w14:textId="77777777" w:rsidR="00056E12" w:rsidRPr="00056E12" w:rsidRDefault="00056E12" w:rsidP="00056E12">
      <w:pPr>
        <w:tabs>
          <w:tab w:val="left" w:pos="889"/>
        </w:tabs>
        <w:spacing w:before="120" w:line="259" w:lineRule="auto"/>
        <w:ind w:right="45"/>
        <w:jc w:val="both"/>
        <w:rPr>
          <w:i/>
          <w:iCs/>
          <w:sz w:val="18"/>
          <w:szCs w:val="18"/>
        </w:rPr>
      </w:pPr>
      <w:r w:rsidRPr="00056E12">
        <w:rPr>
          <w:i/>
          <w:iCs/>
          <w:sz w:val="18"/>
          <w:szCs w:val="18"/>
        </w:rPr>
        <w:t xml:space="preserve">Η παρούσα ανακοίνωση δεν αποτελεί προσφορά πώλησης κινητών αξιών στις Ηνωμένες Πολιτείες. Οι κινητές αξίες </w:t>
      </w:r>
      <w:r w:rsidRPr="00056E12">
        <w:rPr>
          <w:i/>
          <w:iCs/>
          <w:sz w:val="18"/>
          <w:szCs w:val="18"/>
        </w:rPr>
        <w:lastRenderedPageBreak/>
        <w:t>στις οποίες γίνεται αναφορά εδώ δεν έχουν καταχωριστεί και δεν θα καταχωριστούν σύμφωνα με τον Νόμο περί Κινητών Αξιών των ΗΠΑ του 1933 (ο «Νόμος περί Κινητών Αξιών») και δε θα προσφερθούν ή πωληθούν στις Ηνωμένες Πολιτείες χωρίς καταχώριση ή εξαίρεση από την καταχώριση. Δεν πραγματοποιείται δημόσια προσφορά κινητών αξιών στις Ηνωμένες Πολιτείες.</w:t>
      </w:r>
    </w:p>
    <w:p w14:paraId="4B983523" w14:textId="77777777" w:rsidR="00056E12" w:rsidRPr="00056E12" w:rsidRDefault="00056E12" w:rsidP="00056E12">
      <w:pPr>
        <w:tabs>
          <w:tab w:val="left" w:pos="889"/>
        </w:tabs>
        <w:spacing w:before="120" w:line="259" w:lineRule="auto"/>
        <w:ind w:right="45"/>
        <w:jc w:val="both"/>
        <w:rPr>
          <w:i/>
          <w:iCs/>
          <w:sz w:val="18"/>
          <w:szCs w:val="18"/>
        </w:rPr>
      </w:pPr>
      <w:r w:rsidRPr="00056E12">
        <w:rPr>
          <w:i/>
          <w:iCs/>
          <w:sz w:val="18"/>
          <w:szCs w:val="18"/>
        </w:rPr>
        <w:t>Η διανομή της παρούσας ανακοίνωσης ενδέχεται να υπόκειται σε περιορισμούς βάσει της νομοθεσίας σε ορισμένες δικαιοδοσίες, και τα πρόσωπα που έρχονται σε κατοχή της παρούσας ανακοίνωσης ή άλλων πληροφοριών που αναφέρονται σε αυτήν πρέπει να ενημερωθούν για και να τηρήσουν τυχόν τέτοιους περιορισμούς. Οποιαδήποτε παράβαση αυτών των περιορισμών ενδέχεται να συνιστά παραβίαση της νομοθεσίας περί κινητών αξιών σε οποιαδήποτε τέτοια δικαιοδοσία.</w:t>
      </w:r>
    </w:p>
    <w:p w14:paraId="293B67CB" w14:textId="77777777" w:rsidR="00056E12" w:rsidRPr="00056E12" w:rsidRDefault="00056E12" w:rsidP="00056E12">
      <w:pPr>
        <w:tabs>
          <w:tab w:val="left" w:pos="889"/>
        </w:tabs>
        <w:spacing w:before="120" w:line="259" w:lineRule="auto"/>
        <w:ind w:right="45"/>
        <w:jc w:val="both"/>
        <w:rPr>
          <w:i/>
          <w:iCs/>
          <w:sz w:val="18"/>
          <w:szCs w:val="18"/>
        </w:rPr>
      </w:pPr>
      <w:r w:rsidRPr="00056E12">
        <w:rPr>
          <w:i/>
          <w:iCs/>
          <w:sz w:val="18"/>
          <w:szCs w:val="18"/>
        </w:rPr>
        <w:t>Οι πληροφορίες που περιέχονται στο παρόν δεν συνιστούν προσφορά πώλησης ή πρόσκληση για την υποβολή προσφοράς απόκτησης, ούτε θα πραγματοποιηθεί πώληση των κινητών αξιών που αναφέρονται στο παρόν σε οποιαδήποτε δικαιοδοσία όπου μια τέτοια προσφορά, πρόσκληση ή πώληση θα ήταν παράνομη.</w:t>
      </w:r>
    </w:p>
    <w:p w14:paraId="670995AF" w14:textId="77777777" w:rsidR="00056E12" w:rsidRPr="00056E12" w:rsidRDefault="00056E12" w:rsidP="00056E12">
      <w:pPr>
        <w:tabs>
          <w:tab w:val="left" w:pos="889"/>
        </w:tabs>
        <w:spacing w:before="120" w:line="259" w:lineRule="auto"/>
        <w:ind w:right="45"/>
        <w:jc w:val="both"/>
        <w:rPr>
          <w:i/>
          <w:iCs/>
          <w:sz w:val="18"/>
          <w:szCs w:val="18"/>
        </w:rPr>
      </w:pPr>
      <w:r w:rsidRPr="00056E12">
        <w:rPr>
          <w:i/>
          <w:iCs/>
          <w:sz w:val="18"/>
          <w:szCs w:val="18"/>
        </w:rPr>
        <w:t>Η Εταιρεία δεν έχει εξουσιοδοτήσει οποιαδήποτε δημόσια προσφορά κινητών αξιών σε οποιοδήποτε κράτος μέλος του Ευρωπαϊκού Οικονομικού Χώρου, εκτός της Ελλάδας (κάθε τέτοιο κράτος μέλος του ΕΟΧ θα αναφέρεται ως «Σχετικό Κράτος»). Σε σχέση με κάθε Σχετικό Κράτος, δεν έχει αναληφθεί και δεν θα αναληφθεί καμία ενέργεια για τη διενέργεια δημόσιας προσφοράς κινητών αξιών που θα απαιτούσε δημοσίευση ενημερωτικού δελτίου σε οποιοδήποτε Σχετικό Κράτος. Ως εκ τούτου, οι κινητές αξίες μπορούν να προσφερθούν στα Σχετικά Κράτη μόνο (α) σε νομικά πρόσωπα που είναι ειδικοί επενδυτές κατά την έννοια του Άρθρου 2(ε) του Κανονισμού (ΕΕ) 2017/1129 (ο «Κανονισμός για το Ενημερωτικό Δελτίο») (το καθένα, «Ειδικός Επενδυτής») ή (β) υπό άλλες περιστάσεις που δεν απαιτούν από την Εταιρεία τη δημοσίευση ενημερωτικού δελτίου σύμφωνα με το Άρθρο 3 του Κανονισμού για το Ενημερωτικό Δελτίο. Για τους σκοπούς της παρούσας παραγράφου, ως «δημόσια προσφορά κινητών αξιών» νοείται οποιαδήποτε επικοινωνία προς πρόσωπα με οποιαδήποτε μορφή και μέσα, που παρουσιάζει επαρκείς πληροφορίες σχετικά με τους όρους της προσφοράς και τις προς προσφορά κινητές αξίες, ώστε να επιτρέπει σε έναν επενδυτή να αποφασίσει να αγοράσει ή να καλύψει τις εν λόγω κινητές αξίες.</w:t>
      </w:r>
    </w:p>
    <w:p w14:paraId="75C04A97" w14:textId="77777777" w:rsidR="00056E12" w:rsidRPr="00056E12" w:rsidRDefault="00056E12" w:rsidP="00056E12">
      <w:pPr>
        <w:tabs>
          <w:tab w:val="left" w:pos="889"/>
        </w:tabs>
        <w:spacing w:before="120" w:line="259" w:lineRule="auto"/>
        <w:ind w:right="45"/>
        <w:jc w:val="both"/>
        <w:rPr>
          <w:i/>
          <w:iCs/>
          <w:sz w:val="18"/>
          <w:szCs w:val="18"/>
        </w:rPr>
      </w:pPr>
      <w:r w:rsidRPr="00056E12">
        <w:rPr>
          <w:i/>
          <w:iCs/>
          <w:sz w:val="18"/>
          <w:szCs w:val="18"/>
        </w:rPr>
        <w:t xml:space="preserve">Επιπλέον, η Εταιρεία δεν έχει εξουσιοδοτήσει οποιαδήποτε δημόσια προσφορά κινητών αξιών στο Ηνωμένο Βασίλειο και δεν έχει αναληφθεί ούτε θα αναληφθεί οποιαδήποτε ενέργεια για τη διενέργεια δημόσιας προσφοράς κινητών αξιών που θα μπορούσε να απαιτήσει τη δημοσίευση ενημερωτικού δελτίου στο Ηνωμένο Βασίλειο. Κατά συνέπεια, η παρούσα ανακοίνωση διανέμεται στο Ηνωμένο Βασίλειο μόνο σε πρόσωπα που είναι ειδικοί επενδυτές κατά την έννοια της Παραγράφου 15, Μέρους 1, Παραρτήματος 1 των </w:t>
      </w:r>
      <w:proofErr w:type="spellStart"/>
      <w:r w:rsidRPr="00056E12">
        <w:rPr>
          <w:i/>
          <w:iCs/>
          <w:sz w:val="18"/>
          <w:szCs w:val="18"/>
        </w:rPr>
        <w:t>Public</w:t>
      </w:r>
      <w:proofErr w:type="spellEnd"/>
      <w:r w:rsidRPr="00056E12">
        <w:rPr>
          <w:i/>
          <w:iCs/>
          <w:sz w:val="18"/>
          <w:szCs w:val="18"/>
        </w:rPr>
        <w:t xml:space="preserve"> </w:t>
      </w:r>
      <w:proofErr w:type="spellStart"/>
      <w:r w:rsidRPr="00056E12">
        <w:rPr>
          <w:i/>
          <w:iCs/>
          <w:sz w:val="18"/>
          <w:szCs w:val="18"/>
        </w:rPr>
        <w:t>Offers</w:t>
      </w:r>
      <w:proofErr w:type="spellEnd"/>
      <w:r w:rsidRPr="00056E12">
        <w:rPr>
          <w:i/>
          <w:iCs/>
          <w:sz w:val="18"/>
          <w:szCs w:val="18"/>
        </w:rPr>
        <w:t xml:space="preserve"> and </w:t>
      </w:r>
      <w:proofErr w:type="spellStart"/>
      <w:r w:rsidRPr="00056E12">
        <w:rPr>
          <w:i/>
          <w:iCs/>
          <w:sz w:val="18"/>
          <w:szCs w:val="18"/>
        </w:rPr>
        <w:t>Admissions</w:t>
      </w:r>
      <w:proofErr w:type="spellEnd"/>
      <w:r w:rsidRPr="00056E12">
        <w:rPr>
          <w:i/>
          <w:iCs/>
          <w:sz w:val="18"/>
          <w:szCs w:val="18"/>
        </w:rPr>
        <w:t xml:space="preserve"> to Trading </w:t>
      </w:r>
      <w:proofErr w:type="spellStart"/>
      <w:r w:rsidRPr="00056E12">
        <w:rPr>
          <w:i/>
          <w:iCs/>
          <w:sz w:val="18"/>
          <w:szCs w:val="18"/>
        </w:rPr>
        <w:t>Regulations</w:t>
      </w:r>
      <w:proofErr w:type="spellEnd"/>
      <w:r w:rsidRPr="00056E12">
        <w:rPr>
          <w:i/>
          <w:iCs/>
          <w:sz w:val="18"/>
          <w:szCs w:val="18"/>
        </w:rPr>
        <w:t xml:space="preserve"> 2024/105 (οι «Κανονισμοί POAT») τα οποία είναι πρόσωπα (i) που εμπίπτουν στον ορισμό των «επαγγελματιών επενδυτών» του Άρθρου 19(5) του Διατάγματος του 2005 του Νόμου περί Χρηματοοικονομικών Υπηρεσιών και Χρηματαγορών του 2000, όπως έχει τροποποιηθεί και ισχύει (το «Διάταγμα»), (</w:t>
      </w:r>
      <w:proofErr w:type="spellStart"/>
      <w:r w:rsidRPr="00056E12">
        <w:rPr>
          <w:i/>
          <w:iCs/>
          <w:sz w:val="18"/>
          <w:szCs w:val="18"/>
        </w:rPr>
        <w:t>ii</w:t>
      </w:r>
      <w:proofErr w:type="spellEnd"/>
      <w:r w:rsidRPr="00056E12">
        <w:rPr>
          <w:i/>
          <w:iCs/>
          <w:sz w:val="18"/>
          <w:szCs w:val="18"/>
        </w:rPr>
        <w:t>) που είναι εταιρείες υψηλής καθαρής αξίας όπως περιγράφεται στο Άρθρο 49(2)(α) έως (δ) του Διατάγματος, ή (</w:t>
      </w:r>
      <w:proofErr w:type="spellStart"/>
      <w:r w:rsidRPr="00056E12">
        <w:rPr>
          <w:i/>
          <w:iCs/>
          <w:sz w:val="18"/>
          <w:szCs w:val="18"/>
        </w:rPr>
        <w:t>iii</w:t>
      </w:r>
      <w:proofErr w:type="spellEnd"/>
      <w:r w:rsidRPr="00056E12">
        <w:rPr>
          <w:i/>
          <w:iCs/>
          <w:sz w:val="18"/>
          <w:szCs w:val="18"/>
        </w:rPr>
        <w:t>) στα οποία η εν λόγω επένδυση ή επενδυτική δραστηριότητα μπορεί νομίμως να κοινοποιηθεί με άλλο τρόπο (όλα τα εν λόγω πρόσωπα αναφέρονται συλλογικά ως «Σχετικά Πρόσωπα»). Οποιαδήποτε επένδυση ή επενδυτική δραστηριότητα με την οποία σχετίζεται η παρούσα ανακοίνωση θα είναι διαθέσιμη, στο Ηνωμένο Βασίλειο, μόνο σε, και θα διεκπεραιώνεται μόνο με, Σχετικά Πρόσωπα. Οποιοδήποτε πρόσωπο στο Ηνωμένο Βασίλειο που δεν είναι Σχετικό Πρόσωπο δεν πρέπει να ενεργεί ή να βασίζεται στην παρούσα ανακοίνωση ή σε οποιοδήποτε περιεχόμενό της.</w:t>
      </w:r>
    </w:p>
    <w:p w14:paraId="6CFA71E6" w14:textId="77777777" w:rsidR="00056E12" w:rsidRPr="00056E12" w:rsidRDefault="00056E12" w:rsidP="00056E12">
      <w:pPr>
        <w:tabs>
          <w:tab w:val="left" w:pos="889"/>
        </w:tabs>
        <w:spacing w:before="120" w:line="259" w:lineRule="auto"/>
        <w:ind w:right="45"/>
        <w:jc w:val="both"/>
        <w:rPr>
          <w:i/>
          <w:iCs/>
          <w:sz w:val="18"/>
          <w:szCs w:val="18"/>
        </w:rPr>
      </w:pPr>
      <w:r w:rsidRPr="00056E12">
        <w:rPr>
          <w:i/>
          <w:iCs/>
          <w:sz w:val="18"/>
          <w:szCs w:val="18"/>
        </w:rPr>
        <w:t>Οποιαδήποτε δραστηριότητα επένδυσης με την οποία σχετίζεται η παρούσα ανακοίνωση είναι διαθέσιμη μόνο σε επενδυτές που κατοικούν στην Ελλάδα, σε Ειδικούς Επενδυτές σε Σχετικά Κράτη Μέλη και σε Σχετικά Πρόσωπα στο Ηνωμένο Βασίλειο και θα μπορεί μόνο να διεκπεραιωθεί με τέτοια πρόσωπα. Άτομα που δεν είναι Ειδικοί Επενδυτές (σε σχετικά Κράτη Μέλη) ή Σχετικά Πρόσωπα (στο Ηνωμένο Βασίλειο) δεν θα πρέπει να ενεργούν ή να βασίζονται σε αυτήν την ανακοίνωση ή στο περιεχόμενο αυτής.</w:t>
      </w:r>
    </w:p>
    <w:p w14:paraId="709C3682" w14:textId="1CDFC126" w:rsidR="00ED412F" w:rsidRPr="00213A04" w:rsidRDefault="00ED412F" w:rsidP="001A7873">
      <w:pPr>
        <w:pStyle w:val="BodyText"/>
        <w:rPr>
          <w:i/>
          <w:iCs/>
          <w:sz w:val="18"/>
          <w:szCs w:val="18"/>
        </w:rPr>
      </w:pPr>
    </w:p>
    <w:p w14:paraId="46BA18C5" w14:textId="77777777" w:rsidR="00C97DE8" w:rsidRPr="00C97DE8" w:rsidRDefault="00C97DE8" w:rsidP="001A7873">
      <w:pPr>
        <w:pStyle w:val="BodyText"/>
        <w:rPr>
          <w:i/>
          <w:iCs/>
          <w:sz w:val="18"/>
          <w:szCs w:val="18"/>
        </w:rPr>
      </w:pPr>
    </w:p>
    <w:sectPr w:rsidR="00C97DE8" w:rsidRPr="00C97DE8" w:rsidSect="00345E07">
      <w:headerReference w:type="default" r:id="rId28"/>
      <w:pgSz w:w="11910" w:h="16840"/>
      <w:pgMar w:top="1701" w:right="1680" w:bottom="1135" w:left="1680" w:header="751" w:footer="7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9BB01" w14:textId="77777777" w:rsidR="00020BDC" w:rsidRDefault="00020BDC">
      <w:r>
        <w:separator/>
      </w:r>
    </w:p>
  </w:endnote>
  <w:endnote w:type="continuationSeparator" w:id="0">
    <w:p w14:paraId="585A58CD" w14:textId="77777777" w:rsidR="00020BDC" w:rsidRDefault="00020BDC">
      <w:r>
        <w:continuationSeparator/>
      </w:r>
    </w:p>
  </w:endnote>
  <w:endnote w:type="continuationNotice" w:id="1">
    <w:p w14:paraId="2BF8AB4E" w14:textId="77777777" w:rsidR="00020BDC" w:rsidRDefault="00020B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1BAB0" w14:textId="77777777" w:rsidR="00020BDC" w:rsidRDefault="00020BDC">
      <w:r>
        <w:separator/>
      </w:r>
    </w:p>
  </w:footnote>
  <w:footnote w:type="continuationSeparator" w:id="0">
    <w:p w14:paraId="35FF3FAD" w14:textId="77777777" w:rsidR="00020BDC" w:rsidRDefault="00020BDC">
      <w:r>
        <w:continuationSeparator/>
      </w:r>
    </w:p>
  </w:footnote>
  <w:footnote w:type="continuationNotice" w:id="1">
    <w:p w14:paraId="109B217A" w14:textId="77777777" w:rsidR="00020BDC" w:rsidRDefault="00020B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C9EC2" w14:textId="2C04B00E" w:rsidR="0002134F" w:rsidRPr="00213A04" w:rsidRDefault="0002134F" w:rsidP="00213A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429B1"/>
    <w:multiLevelType w:val="hybridMultilevel"/>
    <w:tmpl w:val="0AF0EE8A"/>
    <w:lvl w:ilvl="0" w:tplc="D1182BA6">
      <w:start w:val="1"/>
      <w:numFmt w:val="lowerRoman"/>
      <w:lvlText w:val="(%1)"/>
      <w:lvlJc w:val="left"/>
      <w:pPr>
        <w:ind w:left="1080" w:hanging="720"/>
      </w:pPr>
      <w:rPr>
        <w:rFonts w:hint="default"/>
        <w:lang w:val="el-GR"/>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08A1622"/>
    <w:multiLevelType w:val="hybridMultilevel"/>
    <w:tmpl w:val="A462BBA2"/>
    <w:lvl w:ilvl="0" w:tplc="DF046078">
      <w:numFmt w:val="bullet"/>
      <w:lvlText w:val="-"/>
      <w:lvlJc w:val="left"/>
      <w:pPr>
        <w:ind w:left="840" w:hanging="360"/>
      </w:pPr>
      <w:rPr>
        <w:rFonts w:ascii="Arial MT" w:eastAsia="Arial MT" w:hAnsi="Arial MT" w:cs="Arial MT" w:hint="default"/>
        <w:w w:val="100"/>
        <w:sz w:val="22"/>
        <w:szCs w:val="22"/>
        <w:lang w:val="el-GR" w:eastAsia="en-US" w:bidi="ar-SA"/>
      </w:rPr>
    </w:lvl>
    <w:lvl w:ilvl="1" w:tplc="65087C78">
      <w:numFmt w:val="bullet"/>
      <w:lvlText w:val="•"/>
      <w:lvlJc w:val="left"/>
      <w:pPr>
        <w:ind w:left="1610" w:hanging="360"/>
      </w:pPr>
      <w:rPr>
        <w:rFonts w:hint="default"/>
        <w:lang w:val="el-GR" w:eastAsia="en-US" w:bidi="ar-SA"/>
      </w:rPr>
    </w:lvl>
    <w:lvl w:ilvl="2" w:tplc="870656CA">
      <w:numFmt w:val="bullet"/>
      <w:lvlText w:val="•"/>
      <w:lvlJc w:val="left"/>
      <w:pPr>
        <w:ind w:left="2381" w:hanging="360"/>
      </w:pPr>
      <w:rPr>
        <w:rFonts w:hint="default"/>
        <w:lang w:val="el-GR" w:eastAsia="en-US" w:bidi="ar-SA"/>
      </w:rPr>
    </w:lvl>
    <w:lvl w:ilvl="3" w:tplc="FAD8D8DE">
      <w:numFmt w:val="bullet"/>
      <w:lvlText w:val="•"/>
      <w:lvlJc w:val="left"/>
      <w:pPr>
        <w:ind w:left="3151" w:hanging="360"/>
      </w:pPr>
      <w:rPr>
        <w:rFonts w:hint="default"/>
        <w:lang w:val="el-GR" w:eastAsia="en-US" w:bidi="ar-SA"/>
      </w:rPr>
    </w:lvl>
    <w:lvl w:ilvl="4" w:tplc="6EA090D6">
      <w:numFmt w:val="bullet"/>
      <w:lvlText w:val="•"/>
      <w:lvlJc w:val="left"/>
      <w:pPr>
        <w:ind w:left="3922" w:hanging="360"/>
      </w:pPr>
      <w:rPr>
        <w:rFonts w:hint="default"/>
        <w:lang w:val="el-GR" w:eastAsia="en-US" w:bidi="ar-SA"/>
      </w:rPr>
    </w:lvl>
    <w:lvl w:ilvl="5" w:tplc="D7C09C92">
      <w:numFmt w:val="bullet"/>
      <w:lvlText w:val="•"/>
      <w:lvlJc w:val="left"/>
      <w:pPr>
        <w:ind w:left="4693" w:hanging="360"/>
      </w:pPr>
      <w:rPr>
        <w:rFonts w:hint="default"/>
        <w:lang w:val="el-GR" w:eastAsia="en-US" w:bidi="ar-SA"/>
      </w:rPr>
    </w:lvl>
    <w:lvl w:ilvl="6" w:tplc="169CD5F2">
      <w:numFmt w:val="bullet"/>
      <w:lvlText w:val="•"/>
      <w:lvlJc w:val="left"/>
      <w:pPr>
        <w:ind w:left="5463" w:hanging="360"/>
      </w:pPr>
      <w:rPr>
        <w:rFonts w:hint="default"/>
        <w:lang w:val="el-GR" w:eastAsia="en-US" w:bidi="ar-SA"/>
      </w:rPr>
    </w:lvl>
    <w:lvl w:ilvl="7" w:tplc="43903ECC">
      <w:numFmt w:val="bullet"/>
      <w:lvlText w:val="•"/>
      <w:lvlJc w:val="left"/>
      <w:pPr>
        <w:ind w:left="6234" w:hanging="360"/>
      </w:pPr>
      <w:rPr>
        <w:rFonts w:hint="default"/>
        <w:lang w:val="el-GR" w:eastAsia="en-US" w:bidi="ar-SA"/>
      </w:rPr>
    </w:lvl>
    <w:lvl w:ilvl="8" w:tplc="A8F2D6A6">
      <w:numFmt w:val="bullet"/>
      <w:lvlText w:val="•"/>
      <w:lvlJc w:val="left"/>
      <w:pPr>
        <w:ind w:left="7005" w:hanging="360"/>
      </w:pPr>
      <w:rPr>
        <w:rFonts w:hint="default"/>
        <w:lang w:val="el-GR" w:eastAsia="en-US" w:bidi="ar-SA"/>
      </w:rPr>
    </w:lvl>
  </w:abstractNum>
  <w:abstractNum w:abstractNumId="2" w15:restartNumberingAfterBreak="0">
    <w:nsid w:val="29E72D48"/>
    <w:multiLevelType w:val="hybridMultilevel"/>
    <w:tmpl w:val="CB82A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B63B27"/>
    <w:multiLevelType w:val="hybridMultilevel"/>
    <w:tmpl w:val="F4644FB0"/>
    <w:lvl w:ilvl="0" w:tplc="3B465278">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174D7F"/>
    <w:multiLevelType w:val="hybridMultilevel"/>
    <w:tmpl w:val="AC9A3B3A"/>
    <w:lvl w:ilvl="0" w:tplc="0C5EE7C0">
      <w:start w:val="1"/>
      <mc:AlternateContent>
        <mc:Choice Requires="w14">
          <w:numFmt w:val="custom" w:format="α, β, γ, ..."/>
        </mc:Choice>
        <mc:Fallback>
          <w:numFmt w:val="decimal"/>
        </mc:Fallback>
      </mc:AlternateContent>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 w15:restartNumberingAfterBreak="0">
    <w:nsid w:val="4E903902"/>
    <w:multiLevelType w:val="hybridMultilevel"/>
    <w:tmpl w:val="6B088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7547350">
    <w:abstractNumId w:val="1"/>
  </w:num>
  <w:num w:numId="2" w16cid:durableId="1354451425">
    <w:abstractNumId w:val="3"/>
  </w:num>
  <w:num w:numId="3" w16cid:durableId="1037582389">
    <w:abstractNumId w:val="5"/>
  </w:num>
  <w:num w:numId="4" w16cid:durableId="1083726425">
    <w:abstractNumId w:val="2"/>
  </w:num>
  <w:num w:numId="5" w16cid:durableId="956058150">
    <w:abstractNumId w:val="4"/>
  </w:num>
  <w:num w:numId="6" w16cid:durableId="581259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34F"/>
    <w:rsid w:val="0000131B"/>
    <w:rsid w:val="00001A35"/>
    <w:rsid w:val="00002C52"/>
    <w:rsid w:val="00003283"/>
    <w:rsid w:val="00010A2D"/>
    <w:rsid w:val="00011FC0"/>
    <w:rsid w:val="00020674"/>
    <w:rsid w:val="000207B8"/>
    <w:rsid w:val="00020838"/>
    <w:rsid w:val="00020BDC"/>
    <w:rsid w:val="0002134F"/>
    <w:rsid w:val="00025131"/>
    <w:rsid w:val="00027E78"/>
    <w:rsid w:val="00030C2C"/>
    <w:rsid w:val="00031753"/>
    <w:rsid w:val="0003587E"/>
    <w:rsid w:val="000366FB"/>
    <w:rsid w:val="00041E6D"/>
    <w:rsid w:val="00045FF9"/>
    <w:rsid w:val="00046EDB"/>
    <w:rsid w:val="0004779B"/>
    <w:rsid w:val="0005009E"/>
    <w:rsid w:val="000500DE"/>
    <w:rsid w:val="00051A76"/>
    <w:rsid w:val="00056E12"/>
    <w:rsid w:val="0006104F"/>
    <w:rsid w:val="00064879"/>
    <w:rsid w:val="000728BA"/>
    <w:rsid w:val="00075B8B"/>
    <w:rsid w:val="000817EC"/>
    <w:rsid w:val="00083AF2"/>
    <w:rsid w:val="0008522F"/>
    <w:rsid w:val="00085251"/>
    <w:rsid w:val="00086D03"/>
    <w:rsid w:val="00092B25"/>
    <w:rsid w:val="0009488E"/>
    <w:rsid w:val="00095A7E"/>
    <w:rsid w:val="000A52D8"/>
    <w:rsid w:val="000A6F43"/>
    <w:rsid w:val="000B02E2"/>
    <w:rsid w:val="000B2172"/>
    <w:rsid w:val="000B3146"/>
    <w:rsid w:val="000B353A"/>
    <w:rsid w:val="000C12CA"/>
    <w:rsid w:val="000C481D"/>
    <w:rsid w:val="000C4CB7"/>
    <w:rsid w:val="000C5037"/>
    <w:rsid w:val="000D0017"/>
    <w:rsid w:val="000D1EA5"/>
    <w:rsid w:val="000D29D8"/>
    <w:rsid w:val="000D496F"/>
    <w:rsid w:val="000D4E29"/>
    <w:rsid w:val="000D55C4"/>
    <w:rsid w:val="000E21BA"/>
    <w:rsid w:val="000E3624"/>
    <w:rsid w:val="000E3A22"/>
    <w:rsid w:val="000F18EA"/>
    <w:rsid w:val="000F1A4D"/>
    <w:rsid w:val="000F3880"/>
    <w:rsid w:val="000F7F6A"/>
    <w:rsid w:val="001019EE"/>
    <w:rsid w:val="00102F05"/>
    <w:rsid w:val="00113F75"/>
    <w:rsid w:val="001241D0"/>
    <w:rsid w:val="00126319"/>
    <w:rsid w:val="00127CDA"/>
    <w:rsid w:val="00130DF5"/>
    <w:rsid w:val="00130FB8"/>
    <w:rsid w:val="001348FE"/>
    <w:rsid w:val="00135CEF"/>
    <w:rsid w:val="00136A74"/>
    <w:rsid w:val="00137DA4"/>
    <w:rsid w:val="00142215"/>
    <w:rsid w:val="001423B3"/>
    <w:rsid w:val="00142FC9"/>
    <w:rsid w:val="001432D7"/>
    <w:rsid w:val="00143BF3"/>
    <w:rsid w:val="00143EC1"/>
    <w:rsid w:val="00145F79"/>
    <w:rsid w:val="001461E4"/>
    <w:rsid w:val="00146FF4"/>
    <w:rsid w:val="001545B4"/>
    <w:rsid w:val="001558CA"/>
    <w:rsid w:val="00156073"/>
    <w:rsid w:val="00156476"/>
    <w:rsid w:val="0015652D"/>
    <w:rsid w:val="00156B4D"/>
    <w:rsid w:val="0016442F"/>
    <w:rsid w:val="0016493D"/>
    <w:rsid w:val="001661ED"/>
    <w:rsid w:val="0016722C"/>
    <w:rsid w:val="00174C08"/>
    <w:rsid w:val="00175B9C"/>
    <w:rsid w:val="00180A1E"/>
    <w:rsid w:val="00182784"/>
    <w:rsid w:val="00184D98"/>
    <w:rsid w:val="0018599D"/>
    <w:rsid w:val="00187344"/>
    <w:rsid w:val="00191D08"/>
    <w:rsid w:val="001944D8"/>
    <w:rsid w:val="00194A17"/>
    <w:rsid w:val="00195E28"/>
    <w:rsid w:val="00196BAF"/>
    <w:rsid w:val="001A160E"/>
    <w:rsid w:val="001A6A12"/>
    <w:rsid w:val="001A7873"/>
    <w:rsid w:val="001B6882"/>
    <w:rsid w:val="001B75FE"/>
    <w:rsid w:val="001C50F8"/>
    <w:rsid w:val="001C6EC4"/>
    <w:rsid w:val="001C7657"/>
    <w:rsid w:val="001C7A00"/>
    <w:rsid w:val="001D0A89"/>
    <w:rsid w:val="001D1372"/>
    <w:rsid w:val="001D2F29"/>
    <w:rsid w:val="001D32C7"/>
    <w:rsid w:val="001D44EF"/>
    <w:rsid w:val="001D5F2B"/>
    <w:rsid w:val="001E1D7F"/>
    <w:rsid w:val="001E601F"/>
    <w:rsid w:val="001E626A"/>
    <w:rsid w:val="001F1649"/>
    <w:rsid w:val="001F27E1"/>
    <w:rsid w:val="001F2A1F"/>
    <w:rsid w:val="001F31F7"/>
    <w:rsid w:val="00204088"/>
    <w:rsid w:val="00204E81"/>
    <w:rsid w:val="00212470"/>
    <w:rsid w:val="002134EA"/>
    <w:rsid w:val="00213A04"/>
    <w:rsid w:val="00213F87"/>
    <w:rsid w:val="00216383"/>
    <w:rsid w:val="00217FC1"/>
    <w:rsid w:val="00220E6A"/>
    <w:rsid w:val="0023266A"/>
    <w:rsid w:val="002336F6"/>
    <w:rsid w:val="002344AA"/>
    <w:rsid w:val="00240B91"/>
    <w:rsid w:val="00241F93"/>
    <w:rsid w:val="00244E6E"/>
    <w:rsid w:val="00245CF2"/>
    <w:rsid w:val="002500B8"/>
    <w:rsid w:val="00251621"/>
    <w:rsid w:val="0025280B"/>
    <w:rsid w:val="002546F7"/>
    <w:rsid w:val="002612DA"/>
    <w:rsid w:val="002646AD"/>
    <w:rsid w:val="00265515"/>
    <w:rsid w:val="00265992"/>
    <w:rsid w:val="002717C9"/>
    <w:rsid w:val="00280413"/>
    <w:rsid w:val="00283590"/>
    <w:rsid w:val="00286994"/>
    <w:rsid w:val="00286FCD"/>
    <w:rsid w:val="00287EED"/>
    <w:rsid w:val="00292697"/>
    <w:rsid w:val="002948E8"/>
    <w:rsid w:val="002A05E2"/>
    <w:rsid w:val="002A0656"/>
    <w:rsid w:val="002A0D60"/>
    <w:rsid w:val="002B1BA2"/>
    <w:rsid w:val="002B2154"/>
    <w:rsid w:val="002B4648"/>
    <w:rsid w:val="002B4948"/>
    <w:rsid w:val="002B749C"/>
    <w:rsid w:val="002C4BB4"/>
    <w:rsid w:val="002E0851"/>
    <w:rsid w:val="002E0DD7"/>
    <w:rsid w:val="002E1019"/>
    <w:rsid w:val="002E12F0"/>
    <w:rsid w:val="002E15E4"/>
    <w:rsid w:val="002E5114"/>
    <w:rsid w:val="002E5360"/>
    <w:rsid w:val="002E5F72"/>
    <w:rsid w:val="002E7242"/>
    <w:rsid w:val="002F18DD"/>
    <w:rsid w:val="002F3E37"/>
    <w:rsid w:val="002F4097"/>
    <w:rsid w:val="002F7F78"/>
    <w:rsid w:val="00300202"/>
    <w:rsid w:val="00300374"/>
    <w:rsid w:val="00300F56"/>
    <w:rsid w:val="003024D6"/>
    <w:rsid w:val="0030511C"/>
    <w:rsid w:val="003065A3"/>
    <w:rsid w:val="0031660C"/>
    <w:rsid w:val="0031774D"/>
    <w:rsid w:val="003226B7"/>
    <w:rsid w:val="0032643B"/>
    <w:rsid w:val="003324B9"/>
    <w:rsid w:val="00334034"/>
    <w:rsid w:val="00336C77"/>
    <w:rsid w:val="00337514"/>
    <w:rsid w:val="00337E78"/>
    <w:rsid w:val="003434B4"/>
    <w:rsid w:val="00343ADF"/>
    <w:rsid w:val="003442D8"/>
    <w:rsid w:val="0034500D"/>
    <w:rsid w:val="00345926"/>
    <w:rsid w:val="003459BC"/>
    <w:rsid w:val="00345B9F"/>
    <w:rsid w:val="00345E07"/>
    <w:rsid w:val="00346106"/>
    <w:rsid w:val="00353B27"/>
    <w:rsid w:val="00357987"/>
    <w:rsid w:val="00360899"/>
    <w:rsid w:val="003614F1"/>
    <w:rsid w:val="00362BD0"/>
    <w:rsid w:val="00362BEC"/>
    <w:rsid w:val="00363FFC"/>
    <w:rsid w:val="00365ED5"/>
    <w:rsid w:val="00367577"/>
    <w:rsid w:val="00370FC2"/>
    <w:rsid w:val="00373928"/>
    <w:rsid w:val="003747C7"/>
    <w:rsid w:val="00375858"/>
    <w:rsid w:val="003776C9"/>
    <w:rsid w:val="00377B6B"/>
    <w:rsid w:val="00380294"/>
    <w:rsid w:val="003803A4"/>
    <w:rsid w:val="003815B1"/>
    <w:rsid w:val="003815F8"/>
    <w:rsid w:val="003839B2"/>
    <w:rsid w:val="00384EC3"/>
    <w:rsid w:val="003925A8"/>
    <w:rsid w:val="003970B8"/>
    <w:rsid w:val="003A08FE"/>
    <w:rsid w:val="003A168B"/>
    <w:rsid w:val="003A2DCA"/>
    <w:rsid w:val="003A3637"/>
    <w:rsid w:val="003A3EC6"/>
    <w:rsid w:val="003A4B6C"/>
    <w:rsid w:val="003A4E2C"/>
    <w:rsid w:val="003A5627"/>
    <w:rsid w:val="003A596A"/>
    <w:rsid w:val="003B287B"/>
    <w:rsid w:val="003B5678"/>
    <w:rsid w:val="003B7B0E"/>
    <w:rsid w:val="003C1990"/>
    <w:rsid w:val="003C4AB2"/>
    <w:rsid w:val="003D37E8"/>
    <w:rsid w:val="003D7C88"/>
    <w:rsid w:val="003E473E"/>
    <w:rsid w:val="003E4909"/>
    <w:rsid w:val="003E612D"/>
    <w:rsid w:val="003E70CE"/>
    <w:rsid w:val="003F10AB"/>
    <w:rsid w:val="003F1D46"/>
    <w:rsid w:val="003F3767"/>
    <w:rsid w:val="003F4756"/>
    <w:rsid w:val="003F4915"/>
    <w:rsid w:val="003F5B4D"/>
    <w:rsid w:val="004010E2"/>
    <w:rsid w:val="004027C2"/>
    <w:rsid w:val="004028EC"/>
    <w:rsid w:val="004032EE"/>
    <w:rsid w:val="004042FE"/>
    <w:rsid w:val="004058E8"/>
    <w:rsid w:val="00410B12"/>
    <w:rsid w:val="00410DE3"/>
    <w:rsid w:val="0041493F"/>
    <w:rsid w:val="004211B3"/>
    <w:rsid w:val="0042132E"/>
    <w:rsid w:val="0043130E"/>
    <w:rsid w:val="0043665D"/>
    <w:rsid w:val="004368CA"/>
    <w:rsid w:val="004370B7"/>
    <w:rsid w:val="00442AB7"/>
    <w:rsid w:val="004444FB"/>
    <w:rsid w:val="00447818"/>
    <w:rsid w:val="00450A2F"/>
    <w:rsid w:val="0045229C"/>
    <w:rsid w:val="00453B06"/>
    <w:rsid w:val="004540FE"/>
    <w:rsid w:val="004558A1"/>
    <w:rsid w:val="004561EF"/>
    <w:rsid w:val="00461517"/>
    <w:rsid w:val="00461A4A"/>
    <w:rsid w:val="0046228D"/>
    <w:rsid w:val="00471144"/>
    <w:rsid w:val="00473EA6"/>
    <w:rsid w:val="00476EE0"/>
    <w:rsid w:val="00477E4D"/>
    <w:rsid w:val="004800FE"/>
    <w:rsid w:val="00481CEC"/>
    <w:rsid w:val="00481F21"/>
    <w:rsid w:val="00484B3D"/>
    <w:rsid w:val="004861B0"/>
    <w:rsid w:val="00487C15"/>
    <w:rsid w:val="004911D3"/>
    <w:rsid w:val="00496D87"/>
    <w:rsid w:val="00497925"/>
    <w:rsid w:val="004A10A2"/>
    <w:rsid w:val="004A1CB1"/>
    <w:rsid w:val="004A540F"/>
    <w:rsid w:val="004B03A5"/>
    <w:rsid w:val="004B3998"/>
    <w:rsid w:val="004B457E"/>
    <w:rsid w:val="004B6397"/>
    <w:rsid w:val="004B6525"/>
    <w:rsid w:val="004B68A1"/>
    <w:rsid w:val="004B6D36"/>
    <w:rsid w:val="004C2FE9"/>
    <w:rsid w:val="004D59D2"/>
    <w:rsid w:val="004D6324"/>
    <w:rsid w:val="004D7D4C"/>
    <w:rsid w:val="004E2418"/>
    <w:rsid w:val="004E3E23"/>
    <w:rsid w:val="004E5192"/>
    <w:rsid w:val="004E5432"/>
    <w:rsid w:val="004E5714"/>
    <w:rsid w:val="004F26B1"/>
    <w:rsid w:val="004F2A07"/>
    <w:rsid w:val="004F2EA4"/>
    <w:rsid w:val="00501BFC"/>
    <w:rsid w:val="0050353C"/>
    <w:rsid w:val="005048E5"/>
    <w:rsid w:val="00506B3E"/>
    <w:rsid w:val="00506FB4"/>
    <w:rsid w:val="005071FD"/>
    <w:rsid w:val="005114D4"/>
    <w:rsid w:val="0051283F"/>
    <w:rsid w:val="00512FDA"/>
    <w:rsid w:val="00513E29"/>
    <w:rsid w:val="0051542B"/>
    <w:rsid w:val="005163B2"/>
    <w:rsid w:val="00516CEE"/>
    <w:rsid w:val="00522BCE"/>
    <w:rsid w:val="00523283"/>
    <w:rsid w:val="00524D66"/>
    <w:rsid w:val="005307DC"/>
    <w:rsid w:val="00531D64"/>
    <w:rsid w:val="00532035"/>
    <w:rsid w:val="00532202"/>
    <w:rsid w:val="005324B7"/>
    <w:rsid w:val="0053315A"/>
    <w:rsid w:val="005418C2"/>
    <w:rsid w:val="00544167"/>
    <w:rsid w:val="00544802"/>
    <w:rsid w:val="0055063A"/>
    <w:rsid w:val="005511D9"/>
    <w:rsid w:val="005512A6"/>
    <w:rsid w:val="00551A63"/>
    <w:rsid w:val="00553B49"/>
    <w:rsid w:val="0055707E"/>
    <w:rsid w:val="00557F91"/>
    <w:rsid w:val="00567E92"/>
    <w:rsid w:val="005711E0"/>
    <w:rsid w:val="00574100"/>
    <w:rsid w:val="005774C1"/>
    <w:rsid w:val="0058298F"/>
    <w:rsid w:val="00582ECA"/>
    <w:rsid w:val="00585D18"/>
    <w:rsid w:val="0059173E"/>
    <w:rsid w:val="00592367"/>
    <w:rsid w:val="0059240D"/>
    <w:rsid w:val="005957AD"/>
    <w:rsid w:val="005A0FCF"/>
    <w:rsid w:val="005A2036"/>
    <w:rsid w:val="005A23E6"/>
    <w:rsid w:val="005A67AE"/>
    <w:rsid w:val="005B17FD"/>
    <w:rsid w:val="005B3504"/>
    <w:rsid w:val="005C01B9"/>
    <w:rsid w:val="005D06DD"/>
    <w:rsid w:val="005D6784"/>
    <w:rsid w:val="005D762C"/>
    <w:rsid w:val="005E1653"/>
    <w:rsid w:val="005E219E"/>
    <w:rsid w:val="005E5CD5"/>
    <w:rsid w:val="00600FF3"/>
    <w:rsid w:val="0060127E"/>
    <w:rsid w:val="00602D00"/>
    <w:rsid w:val="0060416E"/>
    <w:rsid w:val="00606AFE"/>
    <w:rsid w:val="00606F75"/>
    <w:rsid w:val="00616238"/>
    <w:rsid w:val="00617390"/>
    <w:rsid w:val="00624803"/>
    <w:rsid w:val="00626328"/>
    <w:rsid w:val="00633944"/>
    <w:rsid w:val="0063396A"/>
    <w:rsid w:val="00633C3F"/>
    <w:rsid w:val="00633CE6"/>
    <w:rsid w:val="00635334"/>
    <w:rsid w:val="0063570D"/>
    <w:rsid w:val="006411C0"/>
    <w:rsid w:val="006442C6"/>
    <w:rsid w:val="00645BC8"/>
    <w:rsid w:val="0065010F"/>
    <w:rsid w:val="00651727"/>
    <w:rsid w:val="00651D98"/>
    <w:rsid w:val="006535D5"/>
    <w:rsid w:val="00653F2C"/>
    <w:rsid w:val="006550F5"/>
    <w:rsid w:val="00656451"/>
    <w:rsid w:val="00663643"/>
    <w:rsid w:val="00663B18"/>
    <w:rsid w:val="006649A2"/>
    <w:rsid w:val="00664EED"/>
    <w:rsid w:val="00665A6F"/>
    <w:rsid w:val="00671E91"/>
    <w:rsid w:val="00680AC3"/>
    <w:rsid w:val="00681B61"/>
    <w:rsid w:val="00683975"/>
    <w:rsid w:val="00683DB6"/>
    <w:rsid w:val="006848D4"/>
    <w:rsid w:val="00684DCF"/>
    <w:rsid w:val="006939B4"/>
    <w:rsid w:val="006A1C97"/>
    <w:rsid w:val="006A3F8F"/>
    <w:rsid w:val="006A4587"/>
    <w:rsid w:val="006A4999"/>
    <w:rsid w:val="006A6405"/>
    <w:rsid w:val="006A7B96"/>
    <w:rsid w:val="006B0F9C"/>
    <w:rsid w:val="006B1A72"/>
    <w:rsid w:val="006B1C76"/>
    <w:rsid w:val="006B20A3"/>
    <w:rsid w:val="006B2792"/>
    <w:rsid w:val="006B2D7A"/>
    <w:rsid w:val="006B51B6"/>
    <w:rsid w:val="006B641E"/>
    <w:rsid w:val="006C16B6"/>
    <w:rsid w:val="006C33AB"/>
    <w:rsid w:val="006D1CD6"/>
    <w:rsid w:val="006D1F1E"/>
    <w:rsid w:val="006D287D"/>
    <w:rsid w:val="006D603C"/>
    <w:rsid w:val="006E15A4"/>
    <w:rsid w:val="006E1F70"/>
    <w:rsid w:val="006E34C7"/>
    <w:rsid w:val="006E3515"/>
    <w:rsid w:val="006E4188"/>
    <w:rsid w:val="006E636A"/>
    <w:rsid w:val="006E716A"/>
    <w:rsid w:val="006E7D51"/>
    <w:rsid w:val="006F06AB"/>
    <w:rsid w:val="00703327"/>
    <w:rsid w:val="0070576C"/>
    <w:rsid w:val="00707AE3"/>
    <w:rsid w:val="0071016F"/>
    <w:rsid w:val="007213AC"/>
    <w:rsid w:val="00722D1C"/>
    <w:rsid w:val="00724ED3"/>
    <w:rsid w:val="00726B79"/>
    <w:rsid w:val="00727D7E"/>
    <w:rsid w:val="007339C4"/>
    <w:rsid w:val="0073587C"/>
    <w:rsid w:val="00745354"/>
    <w:rsid w:val="00746839"/>
    <w:rsid w:val="007540AF"/>
    <w:rsid w:val="00754207"/>
    <w:rsid w:val="00764964"/>
    <w:rsid w:val="00765402"/>
    <w:rsid w:val="00766D8A"/>
    <w:rsid w:val="007769E5"/>
    <w:rsid w:val="00780914"/>
    <w:rsid w:val="007826B2"/>
    <w:rsid w:val="007841BD"/>
    <w:rsid w:val="00787E1E"/>
    <w:rsid w:val="00791758"/>
    <w:rsid w:val="00791CFC"/>
    <w:rsid w:val="00792472"/>
    <w:rsid w:val="007925C8"/>
    <w:rsid w:val="007930FF"/>
    <w:rsid w:val="00793CE1"/>
    <w:rsid w:val="00794F60"/>
    <w:rsid w:val="00795093"/>
    <w:rsid w:val="007A1297"/>
    <w:rsid w:val="007A31FE"/>
    <w:rsid w:val="007A3E36"/>
    <w:rsid w:val="007A57A0"/>
    <w:rsid w:val="007B222B"/>
    <w:rsid w:val="007B3C50"/>
    <w:rsid w:val="007B68D5"/>
    <w:rsid w:val="007C024E"/>
    <w:rsid w:val="007C1F0E"/>
    <w:rsid w:val="007C2A48"/>
    <w:rsid w:val="007C4270"/>
    <w:rsid w:val="007C5D2E"/>
    <w:rsid w:val="007D0C30"/>
    <w:rsid w:val="007D3408"/>
    <w:rsid w:val="007D6DAD"/>
    <w:rsid w:val="007E2404"/>
    <w:rsid w:val="007E6AD1"/>
    <w:rsid w:val="007F125D"/>
    <w:rsid w:val="007F16CE"/>
    <w:rsid w:val="007F2232"/>
    <w:rsid w:val="007F62C7"/>
    <w:rsid w:val="00801DDD"/>
    <w:rsid w:val="00804396"/>
    <w:rsid w:val="008104E8"/>
    <w:rsid w:val="00812361"/>
    <w:rsid w:val="0081350E"/>
    <w:rsid w:val="00821381"/>
    <w:rsid w:val="00821ABE"/>
    <w:rsid w:val="00822455"/>
    <w:rsid w:val="008254A2"/>
    <w:rsid w:val="00826005"/>
    <w:rsid w:val="0082642E"/>
    <w:rsid w:val="00827860"/>
    <w:rsid w:val="0083080F"/>
    <w:rsid w:val="00835B75"/>
    <w:rsid w:val="00835C3A"/>
    <w:rsid w:val="00836235"/>
    <w:rsid w:val="00836629"/>
    <w:rsid w:val="00841040"/>
    <w:rsid w:val="0084129E"/>
    <w:rsid w:val="0084420B"/>
    <w:rsid w:val="00845A31"/>
    <w:rsid w:val="00850F86"/>
    <w:rsid w:val="00852EF4"/>
    <w:rsid w:val="0085563D"/>
    <w:rsid w:val="008579B2"/>
    <w:rsid w:val="0086148F"/>
    <w:rsid w:val="00861FEA"/>
    <w:rsid w:val="00866CB1"/>
    <w:rsid w:val="00867B19"/>
    <w:rsid w:val="00872694"/>
    <w:rsid w:val="0087394A"/>
    <w:rsid w:val="00880EAC"/>
    <w:rsid w:val="0088713D"/>
    <w:rsid w:val="0088752D"/>
    <w:rsid w:val="00892A5F"/>
    <w:rsid w:val="00892D9E"/>
    <w:rsid w:val="008947B3"/>
    <w:rsid w:val="0089604E"/>
    <w:rsid w:val="00896DE0"/>
    <w:rsid w:val="008A2612"/>
    <w:rsid w:val="008B0B29"/>
    <w:rsid w:val="008B4479"/>
    <w:rsid w:val="008B4B14"/>
    <w:rsid w:val="008C0B9C"/>
    <w:rsid w:val="008C0BF1"/>
    <w:rsid w:val="008C1699"/>
    <w:rsid w:val="008C5AC9"/>
    <w:rsid w:val="008D1EC1"/>
    <w:rsid w:val="008D236B"/>
    <w:rsid w:val="008D3DD1"/>
    <w:rsid w:val="008D5F72"/>
    <w:rsid w:val="008D7A0B"/>
    <w:rsid w:val="008E0647"/>
    <w:rsid w:val="008E0BB5"/>
    <w:rsid w:val="008E0F2E"/>
    <w:rsid w:val="008E118B"/>
    <w:rsid w:val="008E164F"/>
    <w:rsid w:val="008E3D61"/>
    <w:rsid w:val="008E48A4"/>
    <w:rsid w:val="008E7C61"/>
    <w:rsid w:val="008F04F7"/>
    <w:rsid w:val="008F1C68"/>
    <w:rsid w:val="008F3FC5"/>
    <w:rsid w:val="008F453D"/>
    <w:rsid w:val="008F4ECF"/>
    <w:rsid w:val="00900FAB"/>
    <w:rsid w:val="00901220"/>
    <w:rsid w:val="00902F41"/>
    <w:rsid w:val="009034C6"/>
    <w:rsid w:val="00903F1E"/>
    <w:rsid w:val="009043C1"/>
    <w:rsid w:val="00905A96"/>
    <w:rsid w:val="00913017"/>
    <w:rsid w:val="00914EC7"/>
    <w:rsid w:val="009206C6"/>
    <w:rsid w:val="009207A6"/>
    <w:rsid w:val="00921F15"/>
    <w:rsid w:val="00923027"/>
    <w:rsid w:val="00924CA8"/>
    <w:rsid w:val="009300F2"/>
    <w:rsid w:val="00931F8C"/>
    <w:rsid w:val="00935CA8"/>
    <w:rsid w:val="00936B39"/>
    <w:rsid w:val="00940CFB"/>
    <w:rsid w:val="00943AEA"/>
    <w:rsid w:val="00946F26"/>
    <w:rsid w:val="0095391D"/>
    <w:rsid w:val="00970033"/>
    <w:rsid w:val="0097040B"/>
    <w:rsid w:val="009727F3"/>
    <w:rsid w:val="00972EEB"/>
    <w:rsid w:val="009771EC"/>
    <w:rsid w:val="00977293"/>
    <w:rsid w:val="009831E1"/>
    <w:rsid w:val="00984B19"/>
    <w:rsid w:val="00986D6E"/>
    <w:rsid w:val="009A2054"/>
    <w:rsid w:val="009A6767"/>
    <w:rsid w:val="009B1DE8"/>
    <w:rsid w:val="009B2942"/>
    <w:rsid w:val="009B3B95"/>
    <w:rsid w:val="009C2950"/>
    <w:rsid w:val="009D35F3"/>
    <w:rsid w:val="009D37F0"/>
    <w:rsid w:val="009D4813"/>
    <w:rsid w:val="009D6374"/>
    <w:rsid w:val="009D79FD"/>
    <w:rsid w:val="009E04C2"/>
    <w:rsid w:val="009E120F"/>
    <w:rsid w:val="009E23E0"/>
    <w:rsid w:val="009E3963"/>
    <w:rsid w:val="009E5098"/>
    <w:rsid w:val="009E5CBF"/>
    <w:rsid w:val="009E62DD"/>
    <w:rsid w:val="009E77B0"/>
    <w:rsid w:val="009E7C9B"/>
    <w:rsid w:val="009F6F60"/>
    <w:rsid w:val="00A006B7"/>
    <w:rsid w:val="00A00BAD"/>
    <w:rsid w:val="00A028E8"/>
    <w:rsid w:val="00A04614"/>
    <w:rsid w:val="00A0523A"/>
    <w:rsid w:val="00A07B59"/>
    <w:rsid w:val="00A101D5"/>
    <w:rsid w:val="00A1134C"/>
    <w:rsid w:val="00A118B0"/>
    <w:rsid w:val="00A1233B"/>
    <w:rsid w:val="00A14312"/>
    <w:rsid w:val="00A22D20"/>
    <w:rsid w:val="00A264CE"/>
    <w:rsid w:val="00A302B3"/>
    <w:rsid w:val="00A34693"/>
    <w:rsid w:val="00A349F4"/>
    <w:rsid w:val="00A35CD3"/>
    <w:rsid w:val="00A41133"/>
    <w:rsid w:val="00A51777"/>
    <w:rsid w:val="00A56435"/>
    <w:rsid w:val="00A6077E"/>
    <w:rsid w:val="00A60B52"/>
    <w:rsid w:val="00A62B64"/>
    <w:rsid w:val="00A62FDE"/>
    <w:rsid w:val="00A70EB3"/>
    <w:rsid w:val="00A75153"/>
    <w:rsid w:val="00A75D7F"/>
    <w:rsid w:val="00A77E4D"/>
    <w:rsid w:val="00A801B1"/>
    <w:rsid w:val="00A80FE1"/>
    <w:rsid w:val="00A84C0C"/>
    <w:rsid w:val="00A90A34"/>
    <w:rsid w:val="00A912BA"/>
    <w:rsid w:val="00A92AD6"/>
    <w:rsid w:val="00A97BEF"/>
    <w:rsid w:val="00AA05DE"/>
    <w:rsid w:val="00AA5D09"/>
    <w:rsid w:val="00AB4C1A"/>
    <w:rsid w:val="00AB4E25"/>
    <w:rsid w:val="00AB7545"/>
    <w:rsid w:val="00AC5732"/>
    <w:rsid w:val="00AD33FF"/>
    <w:rsid w:val="00AE203C"/>
    <w:rsid w:val="00AE2177"/>
    <w:rsid w:val="00AF0887"/>
    <w:rsid w:val="00AF4B01"/>
    <w:rsid w:val="00B0768D"/>
    <w:rsid w:val="00B10549"/>
    <w:rsid w:val="00B1168E"/>
    <w:rsid w:val="00B1458C"/>
    <w:rsid w:val="00B15C74"/>
    <w:rsid w:val="00B15EA8"/>
    <w:rsid w:val="00B1713A"/>
    <w:rsid w:val="00B17246"/>
    <w:rsid w:val="00B24788"/>
    <w:rsid w:val="00B26EBB"/>
    <w:rsid w:val="00B30483"/>
    <w:rsid w:val="00B32186"/>
    <w:rsid w:val="00B3291B"/>
    <w:rsid w:val="00B34869"/>
    <w:rsid w:val="00B3579C"/>
    <w:rsid w:val="00B35CD4"/>
    <w:rsid w:val="00B36D1A"/>
    <w:rsid w:val="00B37FE5"/>
    <w:rsid w:val="00B4053D"/>
    <w:rsid w:val="00B40D5C"/>
    <w:rsid w:val="00B47890"/>
    <w:rsid w:val="00B51589"/>
    <w:rsid w:val="00B51B37"/>
    <w:rsid w:val="00B54749"/>
    <w:rsid w:val="00B55763"/>
    <w:rsid w:val="00B723EB"/>
    <w:rsid w:val="00B762C5"/>
    <w:rsid w:val="00B81418"/>
    <w:rsid w:val="00B84CEF"/>
    <w:rsid w:val="00B874D2"/>
    <w:rsid w:val="00B90210"/>
    <w:rsid w:val="00B907E7"/>
    <w:rsid w:val="00B974BA"/>
    <w:rsid w:val="00B97548"/>
    <w:rsid w:val="00BA116F"/>
    <w:rsid w:val="00BA4171"/>
    <w:rsid w:val="00BA585D"/>
    <w:rsid w:val="00BA5877"/>
    <w:rsid w:val="00BA6272"/>
    <w:rsid w:val="00BB1645"/>
    <w:rsid w:val="00BB33CE"/>
    <w:rsid w:val="00BB53B9"/>
    <w:rsid w:val="00BB56E0"/>
    <w:rsid w:val="00BB5756"/>
    <w:rsid w:val="00BB7F8C"/>
    <w:rsid w:val="00BC1CF4"/>
    <w:rsid w:val="00BC36C0"/>
    <w:rsid w:val="00BC3915"/>
    <w:rsid w:val="00BC3EBD"/>
    <w:rsid w:val="00BC5DA1"/>
    <w:rsid w:val="00BD1F2E"/>
    <w:rsid w:val="00BD31B5"/>
    <w:rsid w:val="00BD426E"/>
    <w:rsid w:val="00BD665C"/>
    <w:rsid w:val="00BE1348"/>
    <w:rsid w:val="00BE2573"/>
    <w:rsid w:val="00BE2B44"/>
    <w:rsid w:val="00BE35EC"/>
    <w:rsid w:val="00BE377D"/>
    <w:rsid w:val="00BE39E7"/>
    <w:rsid w:val="00BE7F88"/>
    <w:rsid w:val="00BF18DB"/>
    <w:rsid w:val="00BF3860"/>
    <w:rsid w:val="00BF41B3"/>
    <w:rsid w:val="00C04155"/>
    <w:rsid w:val="00C15102"/>
    <w:rsid w:val="00C15357"/>
    <w:rsid w:val="00C15893"/>
    <w:rsid w:val="00C17B4D"/>
    <w:rsid w:val="00C20253"/>
    <w:rsid w:val="00C208D1"/>
    <w:rsid w:val="00C21E4A"/>
    <w:rsid w:val="00C25386"/>
    <w:rsid w:val="00C26187"/>
    <w:rsid w:val="00C318EA"/>
    <w:rsid w:val="00C326F2"/>
    <w:rsid w:val="00C3570E"/>
    <w:rsid w:val="00C36AFE"/>
    <w:rsid w:val="00C37672"/>
    <w:rsid w:val="00C37AB5"/>
    <w:rsid w:val="00C43DB8"/>
    <w:rsid w:val="00C47BA3"/>
    <w:rsid w:val="00C47D8A"/>
    <w:rsid w:val="00C50B35"/>
    <w:rsid w:val="00C66371"/>
    <w:rsid w:val="00C700D3"/>
    <w:rsid w:val="00C737AE"/>
    <w:rsid w:val="00C74237"/>
    <w:rsid w:val="00C74649"/>
    <w:rsid w:val="00C74910"/>
    <w:rsid w:val="00C769DE"/>
    <w:rsid w:val="00C76D31"/>
    <w:rsid w:val="00C80CEA"/>
    <w:rsid w:val="00C83708"/>
    <w:rsid w:val="00C8623E"/>
    <w:rsid w:val="00C876DB"/>
    <w:rsid w:val="00C97DE8"/>
    <w:rsid w:val="00CA18D1"/>
    <w:rsid w:val="00CA3366"/>
    <w:rsid w:val="00CA3CBF"/>
    <w:rsid w:val="00CA7BDD"/>
    <w:rsid w:val="00CA7FC3"/>
    <w:rsid w:val="00CB597E"/>
    <w:rsid w:val="00CB66FE"/>
    <w:rsid w:val="00CC22CC"/>
    <w:rsid w:val="00CC75A0"/>
    <w:rsid w:val="00CD1610"/>
    <w:rsid w:val="00CD51F3"/>
    <w:rsid w:val="00CE0DE0"/>
    <w:rsid w:val="00CE4FA7"/>
    <w:rsid w:val="00CE5D33"/>
    <w:rsid w:val="00CF1469"/>
    <w:rsid w:val="00CF24EA"/>
    <w:rsid w:val="00CF2DC4"/>
    <w:rsid w:val="00CF36D8"/>
    <w:rsid w:val="00CF3E0F"/>
    <w:rsid w:val="00CF744B"/>
    <w:rsid w:val="00D01370"/>
    <w:rsid w:val="00D03C54"/>
    <w:rsid w:val="00D04DA4"/>
    <w:rsid w:val="00D13F9E"/>
    <w:rsid w:val="00D154B9"/>
    <w:rsid w:val="00D15BD1"/>
    <w:rsid w:val="00D30CC3"/>
    <w:rsid w:val="00D317E8"/>
    <w:rsid w:val="00D34A3A"/>
    <w:rsid w:val="00D3728F"/>
    <w:rsid w:val="00D404AF"/>
    <w:rsid w:val="00D40F32"/>
    <w:rsid w:val="00D445BD"/>
    <w:rsid w:val="00D44BB2"/>
    <w:rsid w:val="00D519D5"/>
    <w:rsid w:val="00D521DE"/>
    <w:rsid w:val="00D52591"/>
    <w:rsid w:val="00D57C93"/>
    <w:rsid w:val="00D57ECB"/>
    <w:rsid w:val="00D61439"/>
    <w:rsid w:val="00D65496"/>
    <w:rsid w:val="00D712DC"/>
    <w:rsid w:val="00D714B7"/>
    <w:rsid w:val="00D72CD6"/>
    <w:rsid w:val="00D77A77"/>
    <w:rsid w:val="00D90836"/>
    <w:rsid w:val="00D91B16"/>
    <w:rsid w:val="00D95CCD"/>
    <w:rsid w:val="00DA0B39"/>
    <w:rsid w:val="00DA320A"/>
    <w:rsid w:val="00DA49CE"/>
    <w:rsid w:val="00DA63E7"/>
    <w:rsid w:val="00DB450A"/>
    <w:rsid w:val="00DB49A9"/>
    <w:rsid w:val="00DB59D4"/>
    <w:rsid w:val="00DB7611"/>
    <w:rsid w:val="00DC1FE8"/>
    <w:rsid w:val="00DC2729"/>
    <w:rsid w:val="00DC2841"/>
    <w:rsid w:val="00DC2D72"/>
    <w:rsid w:val="00DC2FF6"/>
    <w:rsid w:val="00DC34DB"/>
    <w:rsid w:val="00DC52CF"/>
    <w:rsid w:val="00DD2254"/>
    <w:rsid w:val="00DD2E6F"/>
    <w:rsid w:val="00DD342B"/>
    <w:rsid w:val="00DD5A8E"/>
    <w:rsid w:val="00DE0E6B"/>
    <w:rsid w:val="00DE51DA"/>
    <w:rsid w:val="00DF2313"/>
    <w:rsid w:val="00DF4F1B"/>
    <w:rsid w:val="00DF52CB"/>
    <w:rsid w:val="00E011D9"/>
    <w:rsid w:val="00E015ED"/>
    <w:rsid w:val="00E0580A"/>
    <w:rsid w:val="00E06BC4"/>
    <w:rsid w:val="00E06DBD"/>
    <w:rsid w:val="00E10D6D"/>
    <w:rsid w:val="00E11A05"/>
    <w:rsid w:val="00E12569"/>
    <w:rsid w:val="00E1389B"/>
    <w:rsid w:val="00E146E9"/>
    <w:rsid w:val="00E159C1"/>
    <w:rsid w:val="00E16FCD"/>
    <w:rsid w:val="00E17BEA"/>
    <w:rsid w:val="00E21C44"/>
    <w:rsid w:val="00E272D1"/>
    <w:rsid w:val="00E27BB1"/>
    <w:rsid w:val="00E301BC"/>
    <w:rsid w:val="00E31382"/>
    <w:rsid w:val="00E4168A"/>
    <w:rsid w:val="00E50EF0"/>
    <w:rsid w:val="00E51943"/>
    <w:rsid w:val="00E51D0B"/>
    <w:rsid w:val="00E52720"/>
    <w:rsid w:val="00E52B3F"/>
    <w:rsid w:val="00E559CB"/>
    <w:rsid w:val="00E62129"/>
    <w:rsid w:val="00E62880"/>
    <w:rsid w:val="00E65217"/>
    <w:rsid w:val="00E75987"/>
    <w:rsid w:val="00E80444"/>
    <w:rsid w:val="00E81143"/>
    <w:rsid w:val="00E85F38"/>
    <w:rsid w:val="00E86F6A"/>
    <w:rsid w:val="00E91293"/>
    <w:rsid w:val="00EA1485"/>
    <w:rsid w:val="00EA71A9"/>
    <w:rsid w:val="00EB0BE3"/>
    <w:rsid w:val="00EB0C3C"/>
    <w:rsid w:val="00EB7B87"/>
    <w:rsid w:val="00EC02F4"/>
    <w:rsid w:val="00EC5B17"/>
    <w:rsid w:val="00EC61F2"/>
    <w:rsid w:val="00EC7EEB"/>
    <w:rsid w:val="00ED1141"/>
    <w:rsid w:val="00ED2878"/>
    <w:rsid w:val="00ED3EAB"/>
    <w:rsid w:val="00ED412F"/>
    <w:rsid w:val="00ED6925"/>
    <w:rsid w:val="00EE0439"/>
    <w:rsid w:val="00EE1D7D"/>
    <w:rsid w:val="00EE3AB1"/>
    <w:rsid w:val="00EE7DAF"/>
    <w:rsid w:val="00EF1629"/>
    <w:rsid w:val="00EF7A98"/>
    <w:rsid w:val="00F002DD"/>
    <w:rsid w:val="00F01D7E"/>
    <w:rsid w:val="00F0630B"/>
    <w:rsid w:val="00F06892"/>
    <w:rsid w:val="00F07664"/>
    <w:rsid w:val="00F11C98"/>
    <w:rsid w:val="00F12435"/>
    <w:rsid w:val="00F1750E"/>
    <w:rsid w:val="00F17DA2"/>
    <w:rsid w:val="00F24B6C"/>
    <w:rsid w:val="00F26441"/>
    <w:rsid w:val="00F302B4"/>
    <w:rsid w:val="00F308A8"/>
    <w:rsid w:val="00F310F0"/>
    <w:rsid w:val="00F32C93"/>
    <w:rsid w:val="00F33C6B"/>
    <w:rsid w:val="00F34966"/>
    <w:rsid w:val="00F3698D"/>
    <w:rsid w:val="00F37707"/>
    <w:rsid w:val="00F450E6"/>
    <w:rsid w:val="00F457C2"/>
    <w:rsid w:val="00F51FDC"/>
    <w:rsid w:val="00F52555"/>
    <w:rsid w:val="00F52559"/>
    <w:rsid w:val="00F538A9"/>
    <w:rsid w:val="00F608CC"/>
    <w:rsid w:val="00F60F60"/>
    <w:rsid w:val="00F62DC1"/>
    <w:rsid w:val="00F655E1"/>
    <w:rsid w:val="00F6566C"/>
    <w:rsid w:val="00F70A11"/>
    <w:rsid w:val="00F73B72"/>
    <w:rsid w:val="00F7401F"/>
    <w:rsid w:val="00F75783"/>
    <w:rsid w:val="00F843E7"/>
    <w:rsid w:val="00F873EA"/>
    <w:rsid w:val="00F90ABD"/>
    <w:rsid w:val="00F927F8"/>
    <w:rsid w:val="00F95EB0"/>
    <w:rsid w:val="00F96091"/>
    <w:rsid w:val="00FA2F2E"/>
    <w:rsid w:val="00FA6A54"/>
    <w:rsid w:val="00FA70FF"/>
    <w:rsid w:val="00FB2872"/>
    <w:rsid w:val="00FB4FDC"/>
    <w:rsid w:val="00FB7D05"/>
    <w:rsid w:val="00FC1D61"/>
    <w:rsid w:val="00FC20E3"/>
    <w:rsid w:val="00FC5AD6"/>
    <w:rsid w:val="00FD0311"/>
    <w:rsid w:val="00FD56AA"/>
    <w:rsid w:val="00FD6271"/>
    <w:rsid w:val="00FD73B3"/>
    <w:rsid w:val="00FD7A2B"/>
    <w:rsid w:val="00FE186D"/>
    <w:rsid w:val="00FE3C47"/>
    <w:rsid w:val="00FE6479"/>
    <w:rsid w:val="00FE6DE6"/>
    <w:rsid w:val="00FE6EBA"/>
    <w:rsid w:val="00FE769F"/>
    <w:rsid w:val="00FF3B56"/>
    <w:rsid w:val="00FF7A6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3124F9"/>
  <w15:docId w15:val="{3E34D6CE-16C4-4369-BF84-88BDDDFAA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l-GR"/>
    </w:rPr>
  </w:style>
  <w:style w:type="paragraph" w:styleId="Heading1">
    <w:name w:val="heading 1"/>
    <w:basedOn w:val="Normal"/>
    <w:uiPriority w:val="9"/>
    <w:qFormat/>
    <w:pPr>
      <w:spacing w:before="119"/>
      <w:ind w:left="120"/>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120"/>
      <w:jc w:val="both"/>
    </w:pPr>
  </w:style>
  <w:style w:type="paragraph" w:styleId="ListParagraph">
    <w:name w:val="List Paragraph"/>
    <w:aliases w:val="Κουκίδες,Bullet Points,1st Bullet,Paragraphe de liste,Heading3,Grant Thornton"/>
    <w:basedOn w:val="Normal"/>
    <w:link w:val="ListParagraphChar"/>
    <w:uiPriority w:val="34"/>
    <w:qFormat/>
    <w:pPr>
      <w:spacing w:before="120"/>
      <w:ind w:left="84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101D5"/>
    <w:pPr>
      <w:tabs>
        <w:tab w:val="center" w:pos="4153"/>
        <w:tab w:val="right" w:pos="8306"/>
      </w:tabs>
    </w:pPr>
  </w:style>
  <w:style w:type="character" w:customStyle="1" w:styleId="HeaderChar">
    <w:name w:val="Header Char"/>
    <w:basedOn w:val="DefaultParagraphFont"/>
    <w:link w:val="Header"/>
    <w:uiPriority w:val="99"/>
    <w:rsid w:val="00A101D5"/>
    <w:rPr>
      <w:rFonts w:ascii="Calibri" w:eastAsia="Calibri" w:hAnsi="Calibri" w:cs="Calibri"/>
      <w:lang w:val="el-GR"/>
    </w:rPr>
  </w:style>
  <w:style w:type="paragraph" w:styleId="Footer">
    <w:name w:val="footer"/>
    <w:basedOn w:val="Normal"/>
    <w:link w:val="FooterChar"/>
    <w:uiPriority w:val="99"/>
    <w:unhideWhenUsed/>
    <w:rsid w:val="00A101D5"/>
    <w:pPr>
      <w:tabs>
        <w:tab w:val="center" w:pos="4153"/>
        <w:tab w:val="right" w:pos="8306"/>
      </w:tabs>
    </w:pPr>
  </w:style>
  <w:style w:type="character" w:customStyle="1" w:styleId="FooterChar">
    <w:name w:val="Footer Char"/>
    <w:basedOn w:val="DefaultParagraphFont"/>
    <w:link w:val="Footer"/>
    <w:uiPriority w:val="99"/>
    <w:rsid w:val="00A101D5"/>
    <w:rPr>
      <w:rFonts w:ascii="Calibri" w:eastAsia="Calibri" w:hAnsi="Calibri" w:cs="Calibri"/>
      <w:lang w:val="el-GR"/>
    </w:rPr>
  </w:style>
  <w:style w:type="paragraph" w:styleId="Revision">
    <w:name w:val="Revision"/>
    <w:hidden/>
    <w:uiPriority w:val="99"/>
    <w:semiHidden/>
    <w:rsid w:val="008579B2"/>
    <w:pPr>
      <w:widowControl/>
      <w:autoSpaceDE/>
      <w:autoSpaceDN/>
    </w:pPr>
    <w:rPr>
      <w:rFonts w:ascii="Calibri" w:eastAsia="Calibri" w:hAnsi="Calibri" w:cs="Calibri"/>
      <w:lang w:val="el-GR"/>
    </w:rPr>
  </w:style>
  <w:style w:type="character" w:styleId="CommentReference">
    <w:name w:val="annotation reference"/>
    <w:basedOn w:val="DefaultParagraphFont"/>
    <w:uiPriority w:val="99"/>
    <w:semiHidden/>
    <w:unhideWhenUsed/>
    <w:rsid w:val="008579B2"/>
    <w:rPr>
      <w:sz w:val="16"/>
      <w:szCs w:val="16"/>
    </w:rPr>
  </w:style>
  <w:style w:type="paragraph" w:styleId="CommentText">
    <w:name w:val="annotation text"/>
    <w:basedOn w:val="Normal"/>
    <w:link w:val="CommentTextChar"/>
    <w:uiPriority w:val="99"/>
    <w:unhideWhenUsed/>
    <w:rsid w:val="008579B2"/>
    <w:rPr>
      <w:sz w:val="20"/>
      <w:szCs w:val="20"/>
    </w:rPr>
  </w:style>
  <w:style w:type="character" w:customStyle="1" w:styleId="CommentTextChar">
    <w:name w:val="Comment Text Char"/>
    <w:basedOn w:val="DefaultParagraphFont"/>
    <w:link w:val="CommentText"/>
    <w:uiPriority w:val="99"/>
    <w:rsid w:val="008579B2"/>
    <w:rPr>
      <w:rFonts w:ascii="Calibri" w:eastAsia="Calibri" w:hAnsi="Calibri" w:cs="Calibri"/>
      <w:sz w:val="20"/>
      <w:szCs w:val="20"/>
      <w:lang w:val="el-GR"/>
    </w:rPr>
  </w:style>
  <w:style w:type="paragraph" w:styleId="CommentSubject">
    <w:name w:val="annotation subject"/>
    <w:basedOn w:val="CommentText"/>
    <w:next w:val="CommentText"/>
    <w:link w:val="CommentSubjectChar"/>
    <w:uiPriority w:val="99"/>
    <w:semiHidden/>
    <w:unhideWhenUsed/>
    <w:rsid w:val="008579B2"/>
    <w:rPr>
      <w:b/>
      <w:bCs/>
    </w:rPr>
  </w:style>
  <w:style w:type="character" w:customStyle="1" w:styleId="CommentSubjectChar">
    <w:name w:val="Comment Subject Char"/>
    <w:basedOn w:val="CommentTextChar"/>
    <w:link w:val="CommentSubject"/>
    <w:uiPriority w:val="99"/>
    <w:semiHidden/>
    <w:rsid w:val="008579B2"/>
    <w:rPr>
      <w:rFonts w:ascii="Calibri" w:eastAsia="Calibri" w:hAnsi="Calibri" w:cs="Calibri"/>
      <w:b/>
      <w:bCs/>
      <w:sz w:val="20"/>
      <w:szCs w:val="20"/>
      <w:lang w:val="el-GR"/>
    </w:rPr>
  </w:style>
  <w:style w:type="character" w:customStyle="1" w:styleId="rynqvb">
    <w:name w:val="rynqvb"/>
    <w:basedOn w:val="DefaultParagraphFont"/>
    <w:rsid w:val="00BD665C"/>
  </w:style>
  <w:style w:type="character" w:customStyle="1" w:styleId="ui-provider">
    <w:name w:val="ui-provider"/>
    <w:basedOn w:val="DefaultParagraphFont"/>
    <w:rsid w:val="001019EE"/>
  </w:style>
  <w:style w:type="character" w:styleId="Hyperlink">
    <w:name w:val="Hyperlink"/>
    <w:basedOn w:val="DefaultParagraphFont"/>
    <w:uiPriority w:val="99"/>
    <w:unhideWhenUsed/>
    <w:rsid w:val="00CF1469"/>
    <w:rPr>
      <w:color w:val="0000FF" w:themeColor="hyperlink"/>
      <w:u w:val="single"/>
    </w:rPr>
  </w:style>
  <w:style w:type="character" w:customStyle="1" w:styleId="1">
    <w:name w:val="Ανεπίλυτη αναφορά1"/>
    <w:basedOn w:val="DefaultParagraphFont"/>
    <w:uiPriority w:val="99"/>
    <w:semiHidden/>
    <w:unhideWhenUsed/>
    <w:rsid w:val="00CF1469"/>
    <w:rPr>
      <w:color w:val="605E5C"/>
      <w:shd w:val="clear" w:color="auto" w:fill="E1DFDD"/>
    </w:rPr>
  </w:style>
  <w:style w:type="paragraph" w:styleId="BalloonText">
    <w:name w:val="Balloon Text"/>
    <w:basedOn w:val="Normal"/>
    <w:link w:val="BalloonTextChar"/>
    <w:uiPriority w:val="99"/>
    <w:semiHidden/>
    <w:unhideWhenUsed/>
    <w:rsid w:val="008960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604E"/>
    <w:rPr>
      <w:rFonts w:ascii="Segoe UI" w:eastAsia="Calibri" w:hAnsi="Segoe UI" w:cs="Segoe UI"/>
      <w:sz w:val="18"/>
      <w:szCs w:val="18"/>
      <w:lang w:val="el-GR"/>
    </w:rPr>
  </w:style>
  <w:style w:type="paragraph" w:styleId="FootnoteText">
    <w:name w:val="footnote text"/>
    <w:basedOn w:val="Normal"/>
    <w:link w:val="FootnoteTextChar"/>
    <w:uiPriority w:val="99"/>
    <w:semiHidden/>
    <w:unhideWhenUsed/>
    <w:rsid w:val="004F26B1"/>
    <w:rPr>
      <w:sz w:val="20"/>
      <w:szCs w:val="20"/>
    </w:rPr>
  </w:style>
  <w:style w:type="character" w:customStyle="1" w:styleId="FootnoteTextChar">
    <w:name w:val="Footnote Text Char"/>
    <w:basedOn w:val="DefaultParagraphFont"/>
    <w:link w:val="FootnoteText"/>
    <w:uiPriority w:val="99"/>
    <w:semiHidden/>
    <w:rsid w:val="004F26B1"/>
    <w:rPr>
      <w:rFonts w:ascii="Calibri" w:eastAsia="Calibri" w:hAnsi="Calibri" w:cs="Calibri"/>
      <w:sz w:val="20"/>
      <w:szCs w:val="20"/>
      <w:lang w:val="el-GR"/>
    </w:rPr>
  </w:style>
  <w:style w:type="character" w:styleId="FootnoteReference">
    <w:name w:val="footnote reference"/>
    <w:basedOn w:val="DefaultParagraphFont"/>
    <w:uiPriority w:val="99"/>
    <w:semiHidden/>
    <w:unhideWhenUsed/>
    <w:rsid w:val="004F26B1"/>
    <w:rPr>
      <w:vertAlign w:val="superscript"/>
    </w:rPr>
  </w:style>
  <w:style w:type="table" w:styleId="TableGrid">
    <w:name w:val="Table Grid"/>
    <w:basedOn w:val="TableNormal"/>
    <w:uiPriority w:val="39"/>
    <w:rsid w:val="002E5360"/>
    <w:pPr>
      <w:widowControl/>
      <w:autoSpaceDE/>
      <w:autoSpaceDN/>
    </w:pPr>
    <w:rPr>
      <w:rFonts w:eastAsiaTheme="minorEastAsia"/>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Κουκίδες Char,Bullet Points Char,1st Bullet Char,Paragraphe de liste Char,Heading3 Char,Grant Thornton Char"/>
    <w:link w:val="ListParagraph"/>
    <w:uiPriority w:val="34"/>
    <w:qFormat/>
    <w:locked/>
    <w:rsid w:val="00D57ECB"/>
    <w:rPr>
      <w:rFonts w:ascii="Calibri" w:eastAsia="Calibri" w:hAnsi="Calibri" w:cs="Calibri"/>
      <w:lang w:val="el-GR"/>
    </w:rPr>
  </w:style>
  <w:style w:type="character" w:styleId="UnresolvedMention">
    <w:name w:val="Unresolved Mention"/>
    <w:basedOn w:val="DefaultParagraphFont"/>
    <w:uiPriority w:val="99"/>
    <w:semiHidden/>
    <w:unhideWhenUsed/>
    <w:rsid w:val="00645B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hyperlink" Target="https://ambrosiacapital.gr/credia/" TargetMode="External"/><Relationship Id="rId3" Type="http://schemas.openxmlformats.org/officeDocument/2006/relationships/customXml" Target="../customXml/item3.xml"/><Relationship Id="rId21" Type="http://schemas.openxmlformats.org/officeDocument/2006/relationships/hyperlink" Target="https://www.athexgroup.gr/el/market-data/informative-material"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hyperlink" Target="https://www.optimabank.gr/business/investment-banking/enimerotika-pliroforiaka-deltia"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www.athexgroup.gr/e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pantelakis.gr/pantelakis/services/CrediaBankOffer" TargetMode="External"/><Relationship Id="rId5" Type="http://schemas.openxmlformats.org/officeDocument/2006/relationships/customXml" Target="../customXml/item5.xml"/><Relationship Id="rId15" Type="http://schemas.openxmlformats.org/officeDocument/2006/relationships/image" Target="media/image3.jpeg"/><Relationship Id="rId23" Type="http://schemas.openxmlformats.org/officeDocument/2006/relationships/hyperlink" Target="http://www.euroxx.gr/crediaBankAnnexIX.html" TargetMode="External"/><Relationship Id="rId28"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s://www.crediabank.co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svg"/><Relationship Id="rId22" Type="http://schemas.openxmlformats.org/officeDocument/2006/relationships/hyperlink" Target="https://www.crediabank.com/omilos/enimerosi-ependuton/epiloges-gia-tin-enishusi-tis-parousias-stis-kefalaiagores/" TargetMode="External"/><Relationship Id="rId27" Type="http://schemas.openxmlformats.org/officeDocument/2006/relationships/hyperlink" Target="mailto:custodyservices@crediabank.co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814C4B2-FE78-41D1-9C32-E177493B0B33}">
  <we:reference id="WA200007558" version="1.0.0.1" store="Omex" storeType="OMEX"/>
  <we:alternateReferences>
    <we:reference id="WA200007558" version="1.0.0.1" store="WA20000755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A2B7863208BF42AC51FD37526F8DEF" ma:contentTypeVersion="18" ma:contentTypeDescription="Create a new document." ma:contentTypeScope="" ma:versionID="1944e60afc196ba9ea6f4713f9e72a9b">
  <xsd:schema xmlns:xsd="http://www.w3.org/2001/XMLSchema" xmlns:xs="http://www.w3.org/2001/XMLSchema" xmlns:p="http://schemas.microsoft.com/office/2006/metadata/properties" xmlns:ns2="18c6e3d3-0601-4f9f-99ef-0f059eeede13" xmlns:ns3="13586fee-221f-4ec3-9f23-9a3716c473e4" targetNamespace="http://schemas.microsoft.com/office/2006/metadata/properties" ma:root="true" ma:fieldsID="87e296fda7f331217948b96acb317830" ns2:_="" ns3:_="">
    <xsd:import namespace="18c6e3d3-0601-4f9f-99ef-0f059eeede13"/>
    <xsd:import namespace="13586fee-221f-4ec3-9f23-9a3716c473e4"/>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DocID" minOccurs="0"/>
                <xsd:element ref="ns3:ur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c6e3d3-0601-4f9f-99ef-0f059eeede1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b407385-9f4e-40f2-add0-ad22a4e192ec}" ma:internalName="TaxCatchAll" ma:showField="CatchAllData" ma:web="18c6e3d3-0601-4f9f-99ef-0f059eeede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586fee-221f-4ec3-9f23-9a3716c473e4" elementFormDefault="qualified">
    <xsd:import namespace="http://schemas.microsoft.com/office/2006/documentManagement/types"/>
    <xsd:import namespace="http://schemas.microsoft.com/office/infopath/2007/PartnerControls"/>
    <xsd:element name="DocID" ma:index="13" nillable="true" ma:displayName="Doc ID" ma:internalName="DocID">
      <xsd:simpleType>
        <xsd:restriction base="dms:Text">
          <xsd:maxLength value="255"/>
        </xsd:restriction>
      </xsd:simpleType>
    </xsd:element>
    <xsd:element name="url" ma:index="14" nillable="true" ma:displayName="url" ma:internalName="url">
      <xsd:simpleType>
        <xsd:restriction base="dms:Not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0eb9f82-4b52-4f66-a909-3b05c63968f3"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descriptio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Location" ma:index="27" nillable="true" ma:displayName="Location" ma:description="" ma:indexed="true" ma:internalName="MediaServiceLocation" ma:readOnly="true">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roperties xmlns="http://www.imanage.com/work/xmlschema">
  <documentid>ACTIVE_ENGAGEMENTS!4623911.3</documentid>
  <senderid>ELENA.THEOCHARAKOU</senderid>
  <senderemail>ELENA.THEOCHARAKOU@POTAMITISVEKRIS.COM</senderemail>
  <lastmodified>2026-03-29T11:05:00.0000000+03:00</lastmodified>
  <database>ACTIVE_ENGAGEMENTS</database>
</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SharedWithUsers xmlns="18c6e3d3-0601-4f9f-99ef-0f059eeede13">
      <UserInfo>
        <DisplayName>Nikos Papachristopoulos</DisplayName>
        <AccountId>11</AccountId>
        <AccountType/>
      </UserInfo>
      <UserInfo>
        <DisplayName>Marinos Shiapanis</DisplayName>
        <AccountId>21</AccountId>
        <AccountType/>
      </UserInfo>
    </SharedWithUsers>
    <url xmlns="13586fee-221f-4ec3-9f23-9a3716c473e4" xsi:nil="true"/>
    <DocID xmlns="13586fee-221f-4ec3-9f23-9a3716c473e4" xsi:nil="true"/>
    <lcf76f155ced4ddcb4097134ff3c332f xmlns="13586fee-221f-4ec3-9f23-9a3716c473e4">
      <Terms xmlns="http://schemas.microsoft.com/office/infopath/2007/PartnerControls"/>
    </lcf76f155ced4ddcb4097134ff3c332f>
    <TaxCatchAll xmlns="18c6e3d3-0601-4f9f-99ef-0f059eeede13" xsi:nil="true"/>
    <_dlc_DocId xmlns="18c6e3d3-0601-4f9f-99ef-0f059eeede13">7ZMSVZ3Q4H4Z-1083202359-2386279</_dlc_DocId>
    <_dlc_DocIdUrl xmlns="18c6e3d3-0601-4f9f-99ef-0f059eeede13">
      <Url>https://bernitsaslaw.sharepoint.com/sites/9999/_layouts/15/DocIdRedir.aspx?ID=7ZMSVZ3Q4H4Z-1083202359-2386279</Url>
      <Description>7ZMSVZ3Q4H4Z-1083202359-2386279</Description>
    </_dlc_DocIdUrl>
  </documentManagement>
</p:properties>
</file>

<file path=customXml/itemProps1.xml><?xml version="1.0" encoding="utf-8"?>
<ds:datastoreItem xmlns:ds="http://schemas.openxmlformats.org/officeDocument/2006/customXml" ds:itemID="{FC7F6448-8358-4980-A1B4-67EC1FE1D0AD}">
  <ds:schemaRefs>
    <ds:schemaRef ds:uri="http://schemas.microsoft.com/sharepoint/v3/contenttype/forms"/>
  </ds:schemaRefs>
</ds:datastoreItem>
</file>

<file path=customXml/itemProps2.xml><?xml version="1.0" encoding="utf-8"?>
<ds:datastoreItem xmlns:ds="http://schemas.openxmlformats.org/officeDocument/2006/customXml" ds:itemID="{BD111D53-740F-4C25-938B-F0BE2B3C17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c6e3d3-0601-4f9f-99ef-0f059eeede13"/>
    <ds:schemaRef ds:uri="13586fee-221f-4ec3-9f23-9a3716c473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D3866D-6888-4829-9FB9-44081C2BB06F}">
  <ds:schemaRefs>
    <ds:schemaRef ds:uri="http://schemas.openxmlformats.org/officeDocument/2006/bibliography"/>
  </ds:schemaRefs>
</ds:datastoreItem>
</file>

<file path=customXml/itemProps4.xml><?xml version="1.0" encoding="utf-8"?>
<ds:datastoreItem xmlns:ds="http://schemas.openxmlformats.org/officeDocument/2006/customXml" ds:itemID="{837CE1EA-7582-499B-B771-2BD4BF2D12A6}">
  <ds:schemaRefs>
    <ds:schemaRef ds:uri="http://www.imanage.com/work/xmlschema"/>
  </ds:schemaRefs>
</ds:datastoreItem>
</file>

<file path=customXml/itemProps5.xml><?xml version="1.0" encoding="utf-8"?>
<ds:datastoreItem xmlns:ds="http://schemas.openxmlformats.org/officeDocument/2006/customXml" ds:itemID="{E1623F75-6999-4813-B810-1FBF695633E8}">
  <ds:schemaRefs>
    <ds:schemaRef ds:uri="http://schemas.microsoft.com/sharepoint/events"/>
  </ds:schemaRefs>
</ds:datastoreItem>
</file>

<file path=customXml/itemProps6.xml><?xml version="1.0" encoding="utf-8"?>
<ds:datastoreItem xmlns:ds="http://schemas.openxmlformats.org/officeDocument/2006/customXml" ds:itemID="{86D2CA15-0771-4398-8F9E-9493A5EE0DF2}">
  <ds:schemaRefs>
    <ds:schemaRef ds:uri="http://schemas.microsoft.com/office/2006/metadata/properties"/>
    <ds:schemaRef ds:uri="http://schemas.microsoft.com/office/infopath/2007/PartnerControls"/>
    <ds:schemaRef ds:uri="18c6e3d3-0601-4f9f-99ef-0f059eeede13"/>
    <ds:schemaRef ds:uri="13586fee-221f-4ec3-9f23-9a3716c473e4"/>
  </ds:schemaRefs>
</ds:datastoreItem>
</file>

<file path=docMetadata/LabelInfo.xml><?xml version="1.0" encoding="utf-8"?>
<clbl:labelList xmlns:clbl="http://schemas.microsoft.com/office/2020/mipLabelMetadata">
  <clbl:label id="{140faf45-2d3e-4d5b-9153-dd0063cd7f6f}" enabled="1" method="Privileged" siteId="{c9460ed4-da3b-42d0-899e-5512e64109b7}" contentBits="0" removed="0"/>
  <clbl:label id="{7bb1137e-51c7-42a1-bfe5-48d157d9712c}" enabled="1" method="Standard" siteId="{339179f9-b40f-4575-b0f7-1dbe9e2bb98a}" removed="0"/>
</clbl:labelList>
</file>

<file path=docProps/app.xml><?xml version="1.0" encoding="utf-8"?>
<Properties xmlns="http://schemas.openxmlformats.org/officeDocument/2006/extended-properties" xmlns:vt="http://schemas.openxmlformats.org/officeDocument/2006/docPropsVTypes">
  <Template>Normal.dotm</Template>
  <TotalTime>19</TotalTime>
  <Pages>9</Pages>
  <Words>4451</Words>
  <Characters>27510</Characters>
  <Application>Microsoft Office Word</Application>
  <DocSecurity>0</DocSecurity>
  <Lines>428</Lines>
  <Paragraphs>90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ΤΡΑΠΕΖΑ ΠΕΙΡΑΙΩΣ Α</vt:lpstr>
      <vt:lpstr>ΤΡΑΠΕΖΑ ΠΕΙΡΑΙΩΣ Α</vt:lpstr>
    </vt:vector>
  </TitlesOfParts>
  <Company/>
  <LinksUpToDate>false</LinksUpToDate>
  <CharactersWithSpaces>31881</CharactersWithSpaces>
  <SharedDoc>false</SharedDoc>
  <HLinks>
    <vt:vector size="12" baseType="variant">
      <vt:variant>
        <vt:i4>4522108</vt:i4>
      </vt:variant>
      <vt:variant>
        <vt:i4>3</vt:i4>
      </vt:variant>
      <vt:variant>
        <vt:i4>0</vt:i4>
      </vt:variant>
      <vt:variant>
        <vt:i4>5</vt:i4>
      </vt:variant>
      <vt:variant>
        <vt:lpwstr>mailto:custodyservices@crediabank.com</vt:lpwstr>
      </vt:variant>
      <vt:variant>
        <vt:lpwstr/>
      </vt:variant>
      <vt:variant>
        <vt:i4>5832704</vt:i4>
      </vt:variant>
      <vt:variant>
        <vt:i4>0</vt:i4>
      </vt:variant>
      <vt:variant>
        <vt:i4>0</vt:i4>
      </vt:variant>
      <vt:variant>
        <vt:i4>5</vt:i4>
      </vt:variant>
      <vt:variant>
        <vt:lpwstr>https://www.optimabank.gr/business/investment-banking/enimerotika-pliroforiaka-deltia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CB</dc:title>
  <dc:subject/>
  <dc:creator>l949</dc:creator>
  <cp:keywords/>
  <cp:lastModifiedBy>Kalogiannidi Annamaria</cp:lastModifiedBy>
  <cp:revision>26</cp:revision>
  <cp:lastPrinted>2026-03-30T05:29:00Z</cp:lastPrinted>
  <dcterms:created xsi:type="dcterms:W3CDTF">2026-03-29T08:05:00Z</dcterms:created>
  <dcterms:modified xsi:type="dcterms:W3CDTF">2026-03-30T05:30:00Z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2021-04-21T00:00:00Z</vt:filetime>
  </property>
  <property fmtid="{D5CDD505-2E9C-101B-9397-08002B2CF9AE}" pid="3" name="Creator">
    <vt:lpwstr>Microsoft® Word 2016</vt:lpwstr>
  </property>
  <property fmtid="{D5CDD505-2E9C-101B-9397-08002B2CF9AE}" pid="4" name="LastSaved">
    <vt:filetime>2023-11-06T00:00:00Z</vt:filetime>
  </property>
  <property fmtid="{D5CDD505-2E9C-101B-9397-08002B2CF9AE}" pid="5" name="MSIP_Label_6d7adb30-2719-437b-9821-9718d694dcf6_Enabled">
    <vt:lpwstr>true</vt:lpwstr>
  </property>
  <property fmtid="{D5CDD505-2E9C-101B-9397-08002B2CF9AE}" pid="6" name="MSIP_Label_6d7adb30-2719-437b-9821-9718d694dcf6_SetDate">
    <vt:lpwstr>2023-11-13T06:30:41Z</vt:lpwstr>
  </property>
  <property fmtid="{D5CDD505-2E9C-101B-9397-08002B2CF9AE}" pid="7" name="MSIP_Label_6d7adb30-2719-437b-9821-9718d694dcf6_Method">
    <vt:lpwstr>Standard</vt:lpwstr>
  </property>
  <property fmtid="{D5CDD505-2E9C-101B-9397-08002B2CF9AE}" pid="8" name="MSIP_Label_6d7adb30-2719-437b-9821-9718d694dcf6_Name">
    <vt:lpwstr>General</vt:lpwstr>
  </property>
  <property fmtid="{D5CDD505-2E9C-101B-9397-08002B2CF9AE}" pid="9" name="MSIP_Label_6d7adb30-2719-437b-9821-9718d694dcf6_SiteId">
    <vt:lpwstr>ac9e1960-9db4-4b6b-9de3-a6faf8708413</vt:lpwstr>
  </property>
  <property fmtid="{D5CDD505-2E9C-101B-9397-08002B2CF9AE}" pid="10" name="MSIP_Label_6d7adb30-2719-437b-9821-9718d694dcf6_ActionId">
    <vt:lpwstr>6bd80200-1bfd-499c-8a7c-83087c8ba1f5</vt:lpwstr>
  </property>
  <property fmtid="{D5CDD505-2E9C-101B-9397-08002B2CF9AE}" pid="11" name="MSIP_Label_6d7adb30-2719-437b-9821-9718d694dcf6_ContentBits">
    <vt:lpwstr>0</vt:lpwstr>
  </property>
  <property fmtid="{D5CDD505-2E9C-101B-9397-08002B2CF9AE}" pid="12" name="ContentTypeId">
    <vt:lpwstr>0x010100D1A2B7863208BF42AC51FD37526F8DEF</vt:lpwstr>
  </property>
  <property fmtid="{D5CDD505-2E9C-101B-9397-08002B2CF9AE}" pid="13" name="_dlc_DocIdItemGuid">
    <vt:lpwstr>9911cfcc-6aa4-48ae-b2b2-a06100b51772</vt:lpwstr>
  </property>
  <property fmtid="{D5CDD505-2E9C-101B-9397-08002B2CF9AE}" pid="14" name="MediaServiceImageTags">
    <vt:lpwstr/>
  </property>
  <property fmtid="{D5CDD505-2E9C-101B-9397-08002B2CF9AE}" pid="15" name="hydoc48d3ca8a6a2614c3">
    <vt:lpwstr>019d0729-9bb1-7bf8-8514-d0b0bf41cc47</vt:lpwstr>
  </property>
  <property fmtid="{D5CDD505-2E9C-101B-9397-08002B2CF9AE}" pid="16" name="iManageFooter">
    <vt:lpwstr>PV:4623911.3</vt:lpwstr>
  </property>
</Properties>
</file>